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64E885" w14:textId="77777777" w:rsidR="0053202D" w:rsidRPr="00A9068F" w:rsidRDefault="003022B2" w:rsidP="0053202D">
      <w:pPr>
        <w:jc w:val="center"/>
        <w:rPr>
          <w:rFonts w:cs="Times New Roman"/>
          <w:b/>
          <w:sz w:val="24"/>
          <w:szCs w:val="24"/>
        </w:rPr>
      </w:pPr>
      <w:r w:rsidRPr="00A9068F">
        <w:rPr>
          <w:rFonts w:cs="Times New Roman"/>
          <w:b/>
          <w:sz w:val="24"/>
          <w:szCs w:val="24"/>
        </w:rPr>
        <w:t xml:space="preserve">Analysis of Anions by </w:t>
      </w:r>
      <w:r w:rsidR="0053202D" w:rsidRPr="00A9068F">
        <w:rPr>
          <w:rFonts w:cs="Times New Roman"/>
          <w:b/>
          <w:sz w:val="24"/>
          <w:szCs w:val="24"/>
        </w:rPr>
        <w:t>Spectrophotometr</w:t>
      </w:r>
      <w:r w:rsidRPr="00A9068F">
        <w:rPr>
          <w:rFonts w:cs="Times New Roman"/>
          <w:b/>
          <w:sz w:val="24"/>
          <w:szCs w:val="24"/>
        </w:rPr>
        <w:t>y</w:t>
      </w:r>
    </w:p>
    <w:p w14:paraId="43390524" w14:textId="77777777" w:rsidR="0053202D" w:rsidRPr="00A9068F" w:rsidRDefault="0053202D" w:rsidP="0053202D">
      <w:pPr>
        <w:rPr>
          <w:rFonts w:cs="Arial"/>
          <w:sz w:val="24"/>
          <w:szCs w:val="24"/>
        </w:rPr>
      </w:pPr>
      <w:r w:rsidRPr="00A9068F">
        <w:rPr>
          <w:rFonts w:cs="Arial"/>
          <w:b/>
          <w:sz w:val="24"/>
          <w:szCs w:val="24"/>
        </w:rPr>
        <w:t>Purpose</w:t>
      </w:r>
      <w:r w:rsidRPr="00A9068F">
        <w:rPr>
          <w:rFonts w:cs="Arial"/>
          <w:sz w:val="24"/>
          <w:szCs w:val="24"/>
        </w:rPr>
        <w:t>: The purpose of this assignment is to introduce fundamental concepts of visible (VIS) spectrophotometry as it pertains to the measurement of analytes in water samples.  Phosphate will be the specific example used.</w:t>
      </w:r>
    </w:p>
    <w:p w14:paraId="7D871336" w14:textId="77777777" w:rsidR="0053202D" w:rsidRPr="00A9068F" w:rsidRDefault="0053202D" w:rsidP="0053202D">
      <w:pPr>
        <w:spacing w:after="0"/>
        <w:rPr>
          <w:rFonts w:cs="Arial"/>
          <w:b/>
          <w:sz w:val="24"/>
          <w:szCs w:val="24"/>
        </w:rPr>
      </w:pPr>
      <w:r w:rsidRPr="00A9068F">
        <w:rPr>
          <w:rFonts w:cs="Arial"/>
          <w:b/>
          <w:sz w:val="24"/>
          <w:szCs w:val="24"/>
        </w:rPr>
        <w:t>Learning Outcomes:</w:t>
      </w:r>
    </w:p>
    <w:p w14:paraId="41F8F65A" w14:textId="77777777" w:rsidR="0053202D" w:rsidRPr="00A9068F" w:rsidRDefault="0053202D" w:rsidP="0053202D">
      <w:pPr>
        <w:rPr>
          <w:rFonts w:cs="Arial"/>
          <w:sz w:val="24"/>
          <w:szCs w:val="24"/>
        </w:rPr>
      </w:pPr>
      <w:r w:rsidRPr="00A9068F">
        <w:rPr>
          <w:rFonts w:cs="Arial"/>
          <w:sz w:val="24"/>
          <w:szCs w:val="24"/>
        </w:rPr>
        <w:t>At the end of this assignment, students will be able to:</w:t>
      </w:r>
    </w:p>
    <w:p w14:paraId="070FBEBA" w14:textId="77777777" w:rsidR="0053202D" w:rsidRPr="00A9068F" w:rsidRDefault="0053202D" w:rsidP="0053202D">
      <w:pPr>
        <w:pStyle w:val="ListParagraph"/>
        <w:numPr>
          <w:ilvl w:val="0"/>
          <w:numId w:val="1"/>
        </w:numPr>
        <w:rPr>
          <w:rFonts w:cs="Arial"/>
          <w:sz w:val="24"/>
          <w:szCs w:val="24"/>
        </w:rPr>
      </w:pPr>
      <w:r w:rsidRPr="00A9068F">
        <w:rPr>
          <w:rFonts w:cs="Arial"/>
          <w:sz w:val="24"/>
          <w:szCs w:val="24"/>
        </w:rPr>
        <w:t>Select the appropriate wavelength to collect spectra.</w:t>
      </w:r>
    </w:p>
    <w:p w14:paraId="0214ABDB" w14:textId="77777777" w:rsidR="0053202D" w:rsidRPr="00A9068F" w:rsidRDefault="0053202D" w:rsidP="0053202D">
      <w:pPr>
        <w:pStyle w:val="ListParagraph"/>
        <w:numPr>
          <w:ilvl w:val="0"/>
          <w:numId w:val="1"/>
        </w:numPr>
        <w:rPr>
          <w:rFonts w:cs="Arial"/>
          <w:sz w:val="24"/>
          <w:szCs w:val="24"/>
        </w:rPr>
      </w:pPr>
      <w:r w:rsidRPr="00A9068F">
        <w:rPr>
          <w:rFonts w:cs="Arial"/>
          <w:sz w:val="24"/>
          <w:szCs w:val="24"/>
        </w:rPr>
        <w:t>Evaluate the selectivity and detection limits of the method.</w:t>
      </w:r>
    </w:p>
    <w:p w14:paraId="6E11B291" w14:textId="77777777" w:rsidR="0053202D" w:rsidRPr="00A9068F" w:rsidRDefault="0053202D" w:rsidP="0053202D">
      <w:pPr>
        <w:pStyle w:val="ListParagraph"/>
        <w:numPr>
          <w:ilvl w:val="0"/>
          <w:numId w:val="1"/>
        </w:numPr>
        <w:rPr>
          <w:rFonts w:cs="Arial"/>
          <w:sz w:val="24"/>
          <w:szCs w:val="24"/>
        </w:rPr>
      </w:pPr>
      <w:r w:rsidRPr="00A9068F">
        <w:rPr>
          <w:rFonts w:cs="Arial"/>
          <w:sz w:val="24"/>
          <w:szCs w:val="24"/>
        </w:rPr>
        <w:t>Use UV-VIS spectrophotometry as a quantitative tool (use Beer’s law to calibrate the spectrophotometer and determine the concentration of an unknown amount of phosphate in a water sample).</w:t>
      </w:r>
    </w:p>
    <w:p w14:paraId="37FC65DB" w14:textId="77777777" w:rsidR="0053202D" w:rsidRPr="00A9068F" w:rsidRDefault="0053202D" w:rsidP="0053202D">
      <w:pPr>
        <w:spacing w:after="0"/>
        <w:rPr>
          <w:rFonts w:cs="Arial"/>
          <w:sz w:val="24"/>
          <w:szCs w:val="24"/>
        </w:rPr>
      </w:pPr>
      <w:r w:rsidRPr="00A9068F">
        <w:rPr>
          <w:rFonts w:cs="Arial"/>
          <w:sz w:val="24"/>
          <w:szCs w:val="24"/>
        </w:rPr>
        <w:t>For a discussion of fundamental concepts of UV-VIS spectrophotometry check the following links:</w:t>
      </w:r>
    </w:p>
    <w:p w14:paraId="68DC52CE" w14:textId="77777777" w:rsidR="0053202D" w:rsidRPr="00A9068F" w:rsidRDefault="0053202D" w:rsidP="00A9068F">
      <w:pPr>
        <w:pStyle w:val="ListParagraph"/>
        <w:numPr>
          <w:ilvl w:val="0"/>
          <w:numId w:val="5"/>
        </w:numPr>
        <w:spacing w:after="0"/>
        <w:rPr>
          <w:rFonts w:cs="Arial"/>
          <w:sz w:val="24"/>
          <w:szCs w:val="24"/>
        </w:rPr>
      </w:pPr>
      <w:r w:rsidRPr="00A9068F">
        <w:rPr>
          <w:rFonts w:cs="Arial"/>
          <w:sz w:val="24"/>
          <w:szCs w:val="24"/>
        </w:rPr>
        <w:t>Analytical Chemistry 2.0 – Chapter 10</w:t>
      </w:r>
    </w:p>
    <w:p w14:paraId="67619747" w14:textId="77777777" w:rsidR="0053202D" w:rsidRPr="00A9068F" w:rsidRDefault="00A27EC7" w:rsidP="00A9068F">
      <w:pPr>
        <w:ind w:firstLine="720"/>
        <w:rPr>
          <w:rFonts w:cs="Arial"/>
          <w:sz w:val="20"/>
          <w:szCs w:val="20"/>
        </w:rPr>
      </w:pPr>
      <w:hyperlink r:id="rId7" w:history="1">
        <w:r w:rsidR="0053202D" w:rsidRPr="00A9068F">
          <w:rPr>
            <w:rStyle w:val="Hyperlink"/>
            <w:rFonts w:cs="Arial"/>
            <w:sz w:val="20"/>
            <w:szCs w:val="20"/>
          </w:rPr>
          <w:t>http://www.asdlib.org/onlineArticles/ecourseware/Analytical%20Chemistry%202.0/Text_Files.html</w:t>
        </w:r>
      </w:hyperlink>
    </w:p>
    <w:p w14:paraId="25F574F5" w14:textId="77777777" w:rsidR="0053202D" w:rsidRPr="00A9068F" w:rsidRDefault="0053202D" w:rsidP="00A9068F">
      <w:pPr>
        <w:pStyle w:val="ListParagraph"/>
        <w:numPr>
          <w:ilvl w:val="0"/>
          <w:numId w:val="5"/>
        </w:numPr>
        <w:rPr>
          <w:rFonts w:cs="Arial"/>
          <w:sz w:val="20"/>
          <w:szCs w:val="20"/>
        </w:rPr>
      </w:pPr>
      <w:r w:rsidRPr="00A9068F">
        <w:rPr>
          <w:rFonts w:cs="Arial"/>
          <w:sz w:val="24"/>
          <w:szCs w:val="24"/>
        </w:rPr>
        <w:t xml:space="preserve">Understanding Chemistry – UV-VIS Spectroscopy </w:t>
      </w:r>
      <w:hyperlink r:id="rId8" w:anchor="top" w:history="1">
        <w:r w:rsidRPr="00A9068F">
          <w:rPr>
            <w:rStyle w:val="Hyperlink"/>
            <w:rFonts w:cs="Arial"/>
            <w:sz w:val="20"/>
            <w:szCs w:val="20"/>
          </w:rPr>
          <w:t>http://www.chemguide.co.uk/analysis/uvvisiblemenu.html#top</w:t>
        </w:r>
      </w:hyperlink>
    </w:p>
    <w:p w14:paraId="54949FA3" w14:textId="77777777" w:rsidR="0053202D" w:rsidRPr="00A9068F" w:rsidRDefault="0053202D" w:rsidP="0053202D">
      <w:pPr>
        <w:rPr>
          <w:rFonts w:cs="Arial"/>
          <w:sz w:val="24"/>
          <w:szCs w:val="24"/>
        </w:rPr>
      </w:pPr>
      <w:r w:rsidRPr="00A9068F">
        <w:rPr>
          <w:rFonts w:cs="Arial"/>
          <w:sz w:val="24"/>
          <w:szCs w:val="24"/>
        </w:rPr>
        <w:t>Often, to assess water quality, anions such as nitrates and phosphates</w:t>
      </w:r>
      <w:bookmarkStart w:id="0" w:name="_GoBack"/>
      <w:bookmarkEnd w:id="0"/>
      <w:r w:rsidRPr="00A9068F">
        <w:rPr>
          <w:rFonts w:cs="Arial"/>
          <w:sz w:val="24"/>
          <w:szCs w:val="24"/>
        </w:rPr>
        <w:t xml:space="preserve"> need to be quantitatively determined at concentrations in the parts per million (ppm) range or lower.  One way to measure low concentrations of many species is to use a spectrophotometric analysis.  A spectrophotometric analysis is </w:t>
      </w:r>
      <w:r w:rsidR="00D937B7">
        <w:rPr>
          <w:rFonts w:cs="Arial"/>
          <w:sz w:val="24"/>
          <w:szCs w:val="24"/>
        </w:rPr>
        <w:t>performed</w:t>
      </w:r>
      <w:r w:rsidR="00D937B7" w:rsidRPr="00A9068F">
        <w:rPr>
          <w:rFonts w:cs="Arial"/>
          <w:sz w:val="24"/>
          <w:szCs w:val="24"/>
        </w:rPr>
        <w:t xml:space="preserve"> </w:t>
      </w:r>
      <w:r w:rsidRPr="00A9068F">
        <w:rPr>
          <w:rFonts w:cs="Arial"/>
          <w:sz w:val="24"/>
          <w:szCs w:val="24"/>
        </w:rPr>
        <w:t>by illuminating the sample with radiation in the visible or ultraviolet range</w:t>
      </w:r>
      <w:r w:rsidR="00D937B7">
        <w:rPr>
          <w:rFonts w:cs="Arial"/>
          <w:sz w:val="24"/>
          <w:szCs w:val="24"/>
        </w:rPr>
        <w:t xml:space="preserve"> and detecting the amount of light that reaches the detector</w:t>
      </w:r>
      <w:r w:rsidR="0015353E">
        <w:rPr>
          <w:rFonts w:cs="Arial"/>
          <w:sz w:val="24"/>
          <w:szCs w:val="24"/>
        </w:rPr>
        <w:t>.</w:t>
      </w:r>
      <w:r w:rsidR="00D937B7">
        <w:rPr>
          <w:rFonts w:cs="Arial"/>
          <w:sz w:val="24"/>
          <w:szCs w:val="24"/>
        </w:rPr>
        <w:t xml:space="preserve"> </w:t>
      </w:r>
      <w:r w:rsidRPr="00A9068F">
        <w:rPr>
          <w:rFonts w:cs="Arial"/>
          <w:sz w:val="24"/>
          <w:szCs w:val="24"/>
        </w:rPr>
        <w:t xml:space="preserve">Depending on the chemical properties of the species in the sample, some light will be absorbed while </w:t>
      </w:r>
      <w:r w:rsidR="00D937B7">
        <w:rPr>
          <w:rFonts w:cs="Arial"/>
          <w:sz w:val="24"/>
          <w:szCs w:val="24"/>
        </w:rPr>
        <w:t xml:space="preserve">the remainder </w:t>
      </w:r>
      <w:r w:rsidRPr="00A9068F">
        <w:rPr>
          <w:rFonts w:cs="Arial"/>
          <w:sz w:val="24"/>
          <w:szCs w:val="24"/>
        </w:rPr>
        <w:t>will be transmitted</w:t>
      </w:r>
      <w:r w:rsidR="00D937B7">
        <w:rPr>
          <w:rFonts w:cs="Arial"/>
          <w:sz w:val="24"/>
          <w:szCs w:val="24"/>
        </w:rPr>
        <w:t xml:space="preserve"> to the detector where it is converted to an electrical signal</w:t>
      </w:r>
      <w:r w:rsidR="00344698">
        <w:rPr>
          <w:rFonts w:cs="Arial"/>
          <w:sz w:val="24"/>
          <w:szCs w:val="24"/>
        </w:rPr>
        <w:t xml:space="preserve"> that is proportional to the amount of light absorbed, called the absorbance</w:t>
      </w:r>
      <w:r w:rsidRPr="00A9068F">
        <w:rPr>
          <w:rFonts w:cs="Arial"/>
          <w:sz w:val="24"/>
          <w:szCs w:val="24"/>
        </w:rPr>
        <w:t>.  By constructing a standard calibration curve using known concentrations of the analyte under investigation, a relationship can be developed between the absorbance of the analyte at a specific wavelength and its concentration.  By measuring the absorbance of an unknown sample</w:t>
      </w:r>
      <w:r w:rsidR="00344698">
        <w:rPr>
          <w:rFonts w:cs="Arial"/>
          <w:sz w:val="24"/>
          <w:szCs w:val="24"/>
        </w:rPr>
        <w:t xml:space="preserve"> and comparing it to the calibration plot</w:t>
      </w:r>
      <w:r w:rsidRPr="00A9068F">
        <w:rPr>
          <w:rFonts w:cs="Arial"/>
          <w:sz w:val="24"/>
          <w:szCs w:val="24"/>
        </w:rPr>
        <w:t xml:space="preserve">, the concentration of the analyte in the sample can be determined.  This module will </w:t>
      </w:r>
      <w:r w:rsidR="00D937B7">
        <w:rPr>
          <w:rFonts w:cs="Arial"/>
          <w:sz w:val="24"/>
          <w:szCs w:val="24"/>
        </w:rPr>
        <w:t>address</w:t>
      </w:r>
      <w:r w:rsidR="00D937B7" w:rsidRPr="00A9068F">
        <w:rPr>
          <w:rFonts w:cs="Arial"/>
          <w:sz w:val="24"/>
          <w:szCs w:val="24"/>
        </w:rPr>
        <w:t xml:space="preserve"> </w:t>
      </w:r>
      <w:r w:rsidRPr="00A9068F">
        <w:rPr>
          <w:rFonts w:cs="Arial"/>
          <w:sz w:val="24"/>
          <w:szCs w:val="24"/>
        </w:rPr>
        <w:t>the spectrophotometric analysis of phosphate.</w:t>
      </w:r>
    </w:p>
    <w:p w14:paraId="64BD18BD" w14:textId="77777777" w:rsidR="0053202D" w:rsidRPr="00A9068F" w:rsidRDefault="0053202D" w:rsidP="0053202D">
      <w:pPr>
        <w:rPr>
          <w:rFonts w:cs="Arial"/>
          <w:sz w:val="24"/>
          <w:szCs w:val="24"/>
        </w:rPr>
      </w:pPr>
      <w:r w:rsidRPr="00A9068F">
        <w:rPr>
          <w:rFonts w:cs="Arial"/>
          <w:b/>
          <w:sz w:val="24"/>
          <w:szCs w:val="24"/>
        </w:rPr>
        <w:t xml:space="preserve">Q1:  </w:t>
      </w:r>
      <w:r w:rsidRPr="00A9068F">
        <w:rPr>
          <w:rFonts w:cs="Arial"/>
          <w:sz w:val="24"/>
          <w:szCs w:val="24"/>
        </w:rPr>
        <w:t>Draw</w:t>
      </w:r>
      <w:r w:rsidRPr="00A9068F">
        <w:rPr>
          <w:rFonts w:cs="Arial"/>
          <w:b/>
          <w:sz w:val="24"/>
          <w:szCs w:val="24"/>
        </w:rPr>
        <w:t xml:space="preserve"> </w:t>
      </w:r>
      <w:r w:rsidRPr="00A9068F">
        <w:rPr>
          <w:rFonts w:cs="Arial"/>
          <w:sz w:val="24"/>
          <w:szCs w:val="24"/>
        </w:rPr>
        <w:t>a block diagram of</w:t>
      </w:r>
      <w:r w:rsidRPr="00A9068F">
        <w:rPr>
          <w:rFonts w:cs="Arial"/>
          <w:b/>
          <w:sz w:val="24"/>
          <w:szCs w:val="24"/>
        </w:rPr>
        <w:t xml:space="preserve"> </w:t>
      </w:r>
      <w:r w:rsidRPr="00A9068F">
        <w:rPr>
          <w:rFonts w:cs="Arial"/>
          <w:sz w:val="24"/>
          <w:szCs w:val="24"/>
        </w:rPr>
        <w:t>the components of a spectrophotometer.</w:t>
      </w:r>
    </w:p>
    <w:p w14:paraId="456AF369" w14:textId="77777777" w:rsidR="0053202D" w:rsidRPr="00A9068F" w:rsidRDefault="0053202D" w:rsidP="0053202D">
      <w:pPr>
        <w:rPr>
          <w:rFonts w:cs="Arial"/>
          <w:sz w:val="24"/>
          <w:szCs w:val="24"/>
        </w:rPr>
      </w:pPr>
      <w:r w:rsidRPr="00A9068F">
        <w:rPr>
          <w:rFonts w:cs="Arial"/>
          <w:sz w:val="24"/>
          <w:szCs w:val="24"/>
        </w:rPr>
        <w:t>When a beam of electromagnetic radiation passes through a sample, most of the radiation is transmitted but, at specific wavelengths, the radiation may be absorbed</w:t>
      </w:r>
      <w:r w:rsidR="00D937B7">
        <w:rPr>
          <w:rFonts w:cs="Arial"/>
          <w:sz w:val="24"/>
          <w:szCs w:val="24"/>
        </w:rPr>
        <w:t xml:space="preserve"> by chemical constituents within the sample</w:t>
      </w:r>
      <w:r w:rsidRPr="00A9068F">
        <w:rPr>
          <w:rFonts w:cs="Arial"/>
          <w:sz w:val="24"/>
          <w:szCs w:val="24"/>
        </w:rPr>
        <w:t>.  For an atom or molecular species,</w:t>
      </w:r>
      <w:r w:rsidR="00344698">
        <w:rPr>
          <w:rFonts w:cs="Arial"/>
          <w:sz w:val="24"/>
          <w:szCs w:val="24"/>
        </w:rPr>
        <w:t xml:space="preserve"> the absorption of light </w:t>
      </w:r>
      <w:r w:rsidR="00344698">
        <w:rPr>
          <w:rFonts w:cs="Arial"/>
          <w:sz w:val="24"/>
          <w:szCs w:val="24"/>
        </w:rPr>
        <w:lastRenderedPageBreak/>
        <w:t>causes</w:t>
      </w:r>
      <w:r w:rsidRPr="00A9068F">
        <w:rPr>
          <w:rFonts w:cs="Arial"/>
          <w:sz w:val="24"/>
          <w:szCs w:val="24"/>
        </w:rPr>
        <w:t xml:space="preserve"> valence electrons </w:t>
      </w:r>
      <w:r w:rsidR="00344698">
        <w:rPr>
          <w:rFonts w:cs="Arial"/>
          <w:sz w:val="24"/>
          <w:szCs w:val="24"/>
        </w:rPr>
        <w:t xml:space="preserve">to be </w:t>
      </w:r>
      <w:r w:rsidRPr="00A9068F">
        <w:rPr>
          <w:rFonts w:cs="Arial"/>
          <w:sz w:val="24"/>
          <w:szCs w:val="24"/>
        </w:rPr>
        <w:t>excited from lower to higher energy states.  For th</w:t>
      </w:r>
      <w:r w:rsidR="00344698">
        <w:rPr>
          <w:rFonts w:cs="Arial"/>
          <w:sz w:val="24"/>
          <w:szCs w:val="24"/>
        </w:rPr>
        <w:t>is</w:t>
      </w:r>
      <w:r w:rsidRPr="00A9068F">
        <w:rPr>
          <w:rFonts w:cs="Arial"/>
          <w:sz w:val="24"/>
          <w:szCs w:val="24"/>
        </w:rPr>
        <w:t xml:space="preserve"> transition to occur, the energy provided by the radiation has to match the difference in energy </w:t>
      </w:r>
      <w:r w:rsidR="0015353E" w:rsidRPr="00A9068F">
        <w:rPr>
          <w:rFonts w:cs="Arial"/>
          <w:sz w:val="24"/>
          <w:szCs w:val="24"/>
        </w:rPr>
        <w:t>(</w:t>
      </w:r>
      <w:r w:rsidR="0015353E" w:rsidRPr="0015353E">
        <w:rPr>
          <w:rFonts w:ascii="Symbol" w:hAnsi="Symbol" w:cs="Arial"/>
          <w:sz w:val="24"/>
          <w:szCs w:val="24"/>
        </w:rPr>
        <w:t></w:t>
      </w:r>
      <w:r w:rsidRPr="00A9068F">
        <w:rPr>
          <w:rFonts w:cs="Arial"/>
          <w:sz w:val="24"/>
          <w:szCs w:val="24"/>
        </w:rPr>
        <w:t>E) between the lower and higher energy states.</w:t>
      </w:r>
    </w:p>
    <w:p w14:paraId="3308DA70" w14:textId="77777777" w:rsidR="0053202D" w:rsidRPr="00A9068F" w:rsidRDefault="0053202D" w:rsidP="0053202D">
      <w:pPr>
        <w:rPr>
          <w:rFonts w:cs="Arial"/>
          <w:sz w:val="24"/>
          <w:szCs w:val="24"/>
        </w:rPr>
      </w:pPr>
      <w:r w:rsidRPr="00A9068F">
        <w:rPr>
          <w:rFonts w:cs="Arial"/>
          <w:b/>
          <w:sz w:val="24"/>
          <w:szCs w:val="24"/>
        </w:rPr>
        <w:t>Q2</w:t>
      </w:r>
      <w:r w:rsidRPr="00A9068F">
        <w:rPr>
          <w:rFonts w:cs="Arial"/>
          <w:sz w:val="24"/>
          <w:szCs w:val="24"/>
        </w:rPr>
        <w:t>:  What molecular properties must a compound have in order to absorb UV-VIS radiation?</w:t>
      </w:r>
    </w:p>
    <w:p w14:paraId="75B0C59D" w14:textId="77777777" w:rsidR="0053202D" w:rsidRPr="00A9068F" w:rsidRDefault="0053202D" w:rsidP="0053202D">
      <w:pPr>
        <w:rPr>
          <w:rFonts w:cs="Arial"/>
          <w:sz w:val="24"/>
          <w:szCs w:val="24"/>
        </w:rPr>
      </w:pPr>
      <w:r w:rsidRPr="00A9068F">
        <w:rPr>
          <w:rFonts w:cs="Arial"/>
          <w:b/>
          <w:sz w:val="24"/>
          <w:szCs w:val="24"/>
        </w:rPr>
        <w:t>Q3</w:t>
      </w:r>
      <w:r w:rsidRPr="00A9068F">
        <w:rPr>
          <w:rFonts w:cs="Arial"/>
          <w:sz w:val="24"/>
          <w:szCs w:val="24"/>
        </w:rPr>
        <w:t>:  Do you think phosphate ions have the ability to absorb UV or visible radiation? Justify your answer.</w:t>
      </w:r>
    </w:p>
    <w:p w14:paraId="199A0A74" w14:textId="77777777" w:rsidR="0053202D" w:rsidRPr="00A9068F" w:rsidRDefault="0053202D" w:rsidP="0053202D">
      <w:pPr>
        <w:rPr>
          <w:rFonts w:cs="Arial"/>
          <w:sz w:val="24"/>
          <w:szCs w:val="24"/>
        </w:rPr>
      </w:pPr>
      <w:r w:rsidRPr="00A9068F">
        <w:rPr>
          <w:rFonts w:cs="Arial"/>
          <w:sz w:val="24"/>
          <w:szCs w:val="24"/>
        </w:rPr>
        <w:t xml:space="preserve">Many species, including phosphates, can be analyzed by </w:t>
      </w:r>
      <w:r w:rsidR="00594B96">
        <w:rPr>
          <w:rFonts w:cs="Arial"/>
          <w:sz w:val="24"/>
          <w:szCs w:val="24"/>
        </w:rPr>
        <w:t xml:space="preserve">visible </w:t>
      </w:r>
      <w:r w:rsidRPr="00A9068F">
        <w:rPr>
          <w:rFonts w:cs="Arial"/>
          <w:sz w:val="24"/>
          <w:szCs w:val="24"/>
        </w:rPr>
        <w:t>spectrophotometry by reacting them with other species, thus forming a new compound that absorbs light at a specific wavelength.  The general approach to any spectrophotometric analysis is the same with differences in reagents and chemical reactions used to generate the light absorbing species.</w:t>
      </w:r>
    </w:p>
    <w:p w14:paraId="458FC5B4" w14:textId="77777777" w:rsidR="0053202D" w:rsidRPr="00A9068F" w:rsidRDefault="0053202D" w:rsidP="0053202D">
      <w:pPr>
        <w:rPr>
          <w:rFonts w:cs="Arial"/>
          <w:b/>
          <w:sz w:val="24"/>
          <w:szCs w:val="24"/>
        </w:rPr>
      </w:pPr>
      <w:r w:rsidRPr="00A9068F">
        <w:rPr>
          <w:rFonts w:cs="Arial"/>
          <w:b/>
          <w:sz w:val="24"/>
          <w:szCs w:val="24"/>
        </w:rPr>
        <w:t>Exploring fundamental relationships in spectrophotometric methods</w:t>
      </w:r>
    </w:p>
    <w:p w14:paraId="37A061C2" w14:textId="77777777" w:rsidR="0053202D" w:rsidRPr="00A9068F" w:rsidRDefault="0053202D" w:rsidP="0053202D">
      <w:pPr>
        <w:rPr>
          <w:rFonts w:cs="Arial"/>
          <w:sz w:val="24"/>
          <w:szCs w:val="24"/>
        </w:rPr>
      </w:pPr>
      <w:r w:rsidRPr="00A9068F">
        <w:rPr>
          <w:rFonts w:cs="Arial"/>
          <w:sz w:val="24"/>
          <w:szCs w:val="24"/>
        </w:rPr>
        <w:t>When light traveling through a sample is absorbed, the radiant power of the beam decreases from P</w:t>
      </w:r>
      <w:r w:rsidRPr="00A9068F">
        <w:rPr>
          <w:rFonts w:cs="Arial"/>
          <w:sz w:val="24"/>
          <w:szCs w:val="24"/>
          <w:vertAlign w:val="subscript"/>
        </w:rPr>
        <w:t>0</w:t>
      </w:r>
      <w:r w:rsidRPr="00A9068F">
        <w:rPr>
          <w:rFonts w:cs="Arial"/>
          <w:sz w:val="24"/>
          <w:szCs w:val="24"/>
        </w:rPr>
        <w:t xml:space="preserve"> to P, where P</w:t>
      </w:r>
      <w:r w:rsidRPr="00A9068F">
        <w:rPr>
          <w:rFonts w:cs="Arial"/>
          <w:sz w:val="24"/>
          <w:szCs w:val="24"/>
          <w:vertAlign w:val="subscript"/>
        </w:rPr>
        <w:t>0</w:t>
      </w:r>
      <w:r w:rsidRPr="00A9068F">
        <w:rPr>
          <w:rFonts w:cs="Arial"/>
          <w:sz w:val="24"/>
          <w:szCs w:val="24"/>
        </w:rPr>
        <w:t xml:space="preserve"> represents the radiant power of the beam before the sample and P the power after the sample.  The fraction of incident radiation transmitted through the solution is called </w:t>
      </w:r>
      <w:r w:rsidRPr="00A9068F">
        <w:rPr>
          <w:rFonts w:cs="Arial"/>
          <w:b/>
          <w:sz w:val="24"/>
          <w:szCs w:val="24"/>
        </w:rPr>
        <w:t>transmittance</w:t>
      </w:r>
      <w:r w:rsidRPr="00A9068F">
        <w:rPr>
          <w:rFonts w:cs="Arial"/>
          <w:sz w:val="24"/>
          <w:szCs w:val="24"/>
        </w:rPr>
        <w:t xml:space="preserve"> and is represented by the equation: </w:t>
      </w:r>
    </w:p>
    <w:p w14:paraId="1ED32160" w14:textId="77777777" w:rsidR="0053202D" w:rsidRPr="00A9068F" w:rsidRDefault="0053202D" w:rsidP="0053202D">
      <w:pPr>
        <w:jc w:val="center"/>
        <w:rPr>
          <w:rFonts w:cs="Arial"/>
          <w:sz w:val="24"/>
          <w:szCs w:val="24"/>
        </w:rPr>
      </w:pPr>
      <w:r w:rsidRPr="00A9068F">
        <w:rPr>
          <w:rFonts w:cs="Arial"/>
          <w:sz w:val="24"/>
          <w:szCs w:val="24"/>
        </w:rPr>
        <w:t>T = P/P</w:t>
      </w:r>
      <w:r w:rsidRPr="00A9068F">
        <w:rPr>
          <w:rFonts w:cs="Arial"/>
          <w:sz w:val="24"/>
          <w:szCs w:val="24"/>
          <w:vertAlign w:val="subscript"/>
        </w:rPr>
        <w:t>0</w:t>
      </w:r>
      <w:r w:rsidRPr="00A9068F">
        <w:rPr>
          <w:rFonts w:cs="Arial"/>
          <w:sz w:val="24"/>
          <w:szCs w:val="24"/>
        </w:rPr>
        <w:t>.</w:t>
      </w:r>
    </w:p>
    <w:p w14:paraId="24B427CF" w14:textId="77777777" w:rsidR="0053202D" w:rsidRPr="00A9068F" w:rsidRDefault="0053202D" w:rsidP="0053202D">
      <w:pPr>
        <w:rPr>
          <w:rFonts w:cs="Arial"/>
          <w:sz w:val="24"/>
          <w:szCs w:val="24"/>
        </w:rPr>
      </w:pPr>
      <w:r w:rsidRPr="00A9068F">
        <w:rPr>
          <w:rFonts w:cs="Arial"/>
          <w:sz w:val="24"/>
          <w:szCs w:val="24"/>
        </w:rPr>
        <w:t>The absorbance of a solution is related to the transmittance through a logarithmic relationship:</w:t>
      </w:r>
    </w:p>
    <w:p w14:paraId="2E67F210" w14:textId="77777777" w:rsidR="0053202D" w:rsidRPr="00A9068F" w:rsidRDefault="0053202D" w:rsidP="0053202D">
      <w:pPr>
        <w:jc w:val="center"/>
        <w:rPr>
          <w:rFonts w:cs="Arial"/>
          <w:sz w:val="24"/>
          <w:szCs w:val="24"/>
        </w:rPr>
      </w:pPr>
      <w:r w:rsidRPr="00A9068F">
        <w:rPr>
          <w:rFonts w:cs="Arial"/>
          <w:sz w:val="24"/>
          <w:szCs w:val="24"/>
        </w:rPr>
        <w:t>A = - log T = - log P/P</w:t>
      </w:r>
      <w:r w:rsidRPr="00A9068F">
        <w:rPr>
          <w:rFonts w:cs="Arial"/>
          <w:sz w:val="24"/>
          <w:szCs w:val="24"/>
          <w:vertAlign w:val="subscript"/>
        </w:rPr>
        <w:t>0</w:t>
      </w:r>
      <w:r w:rsidRPr="00A9068F">
        <w:rPr>
          <w:rFonts w:cs="Arial"/>
          <w:sz w:val="24"/>
          <w:szCs w:val="24"/>
        </w:rPr>
        <w:t xml:space="preserve"> = log P</w:t>
      </w:r>
      <w:r w:rsidRPr="00A9068F">
        <w:rPr>
          <w:rFonts w:cs="Arial"/>
          <w:sz w:val="24"/>
          <w:szCs w:val="24"/>
          <w:vertAlign w:val="subscript"/>
        </w:rPr>
        <w:t>0</w:t>
      </w:r>
      <w:r w:rsidRPr="00A9068F">
        <w:rPr>
          <w:rFonts w:cs="Arial"/>
          <w:sz w:val="24"/>
          <w:szCs w:val="24"/>
        </w:rPr>
        <w:t>/P</w:t>
      </w:r>
    </w:p>
    <w:p w14:paraId="64BE1CB0" w14:textId="77777777" w:rsidR="0053202D" w:rsidRPr="00A9068F" w:rsidRDefault="0053202D" w:rsidP="0053202D">
      <w:pPr>
        <w:rPr>
          <w:rFonts w:cs="Arial"/>
          <w:sz w:val="24"/>
          <w:szCs w:val="24"/>
        </w:rPr>
      </w:pPr>
      <w:r w:rsidRPr="00A9068F">
        <w:rPr>
          <w:rFonts w:cs="Arial"/>
          <w:sz w:val="24"/>
          <w:szCs w:val="24"/>
        </w:rPr>
        <w:t>Before moving on to the analysis of phosphate, we will examine some dye solutions to explore fundamental relationships within spectrophotometric methods.</w:t>
      </w:r>
    </w:p>
    <w:p w14:paraId="6C5F73B6" w14:textId="77777777" w:rsidR="0053202D" w:rsidRPr="00A9068F" w:rsidRDefault="0053202D" w:rsidP="0053202D">
      <w:pPr>
        <w:rPr>
          <w:rFonts w:cs="Arial"/>
          <w:sz w:val="24"/>
          <w:szCs w:val="24"/>
        </w:rPr>
      </w:pPr>
      <w:r w:rsidRPr="00A9068F">
        <w:rPr>
          <w:rFonts w:cs="Arial"/>
          <w:sz w:val="24"/>
          <w:szCs w:val="24"/>
        </w:rPr>
        <w:t xml:space="preserve">For the following activity you can either use a real spectrophotometer or the simulator at the following website </w:t>
      </w:r>
      <w:hyperlink r:id="rId9" w:history="1">
        <w:r w:rsidRPr="00A9068F">
          <w:rPr>
            <w:rStyle w:val="Hyperlink"/>
            <w:rFonts w:cs="Arial"/>
            <w:sz w:val="24"/>
            <w:szCs w:val="24"/>
          </w:rPr>
          <w:t>http://web.mst.edu/~gbert/ColorScan/Spectrophotometry.HTML</w:t>
        </w:r>
      </w:hyperlink>
    </w:p>
    <w:p w14:paraId="24E6FCEA" w14:textId="77777777" w:rsidR="0053202D" w:rsidRPr="00A9068F" w:rsidRDefault="0053202D" w:rsidP="0053202D">
      <w:pPr>
        <w:rPr>
          <w:rFonts w:cs="Arial"/>
          <w:sz w:val="24"/>
          <w:szCs w:val="24"/>
        </w:rPr>
      </w:pPr>
      <w:r w:rsidRPr="00A9068F">
        <w:rPr>
          <w:rFonts w:cs="Arial"/>
          <w:sz w:val="24"/>
          <w:szCs w:val="24"/>
        </w:rPr>
        <w:t xml:space="preserve">Prepare solutions of red dye and blue dye and record their spectra between 400 and 700 nm.  </w:t>
      </w:r>
    </w:p>
    <w:p w14:paraId="4C8150C8" w14:textId="77777777" w:rsidR="0053202D" w:rsidRPr="00A9068F" w:rsidRDefault="0053202D" w:rsidP="0053202D">
      <w:pPr>
        <w:pStyle w:val="ListParagraph"/>
        <w:numPr>
          <w:ilvl w:val="0"/>
          <w:numId w:val="2"/>
        </w:numPr>
        <w:rPr>
          <w:rFonts w:cs="Arial"/>
          <w:sz w:val="24"/>
          <w:szCs w:val="24"/>
        </w:rPr>
      </w:pPr>
      <w:r w:rsidRPr="00A9068F">
        <w:rPr>
          <w:rFonts w:cs="Arial"/>
          <w:sz w:val="24"/>
          <w:szCs w:val="24"/>
        </w:rPr>
        <w:t xml:space="preserve">At which wavelength does the blue dye absorb the most? This wavelength is referred to as </w:t>
      </w:r>
      <w:r w:rsidRPr="00850FFD">
        <w:rPr>
          <w:rFonts w:ascii="Symbol" w:hAnsi="Symbol" w:cs="Arial"/>
          <w:sz w:val="24"/>
          <w:szCs w:val="24"/>
        </w:rPr>
        <w:t></w:t>
      </w:r>
      <w:r w:rsidRPr="00A9068F">
        <w:rPr>
          <w:rFonts w:cs="Arial"/>
          <w:sz w:val="24"/>
          <w:szCs w:val="24"/>
          <w:vertAlign w:val="subscript"/>
        </w:rPr>
        <w:t>max</w:t>
      </w:r>
    </w:p>
    <w:p w14:paraId="1804F634" w14:textId="77777777" w:rsidR="0053202D" w:rsidRPr="00A9068F" w:rsidRDefault="0053202D" w:rsidP="0053202D">
      <w:pPr>
        <w:pStyle w:val="ListParagraph"/>
        <w:numPr>
          <w:ilvl w:val="0"/>
          <w:numId w:val="2"/>
        </w:numPr>
        <w:rPr>
          <w:rFonts w:cs="Arial"/>
          <w:sz w:val="24"/>
          <w:szCs w:val="24"/>
        </w:rPr>
      </w:pPr>
      <w:r w:rsidRPr="00A9068F">
        <w:rPr>
          <w:rFonts w:cs="Arial"/>
          <w:sz w:val="24"/>
          <w:szCs w:val="24"/>
        </w:rPr>
        <w:t>At which wavelength does the red dye absorb the most?</w:t>
      </w:r>
    </w:p>
    <w:p w14:paraId="1165F1CD" w14:textId="77777777" w:rsidR="0053202D" w:rsidRPr="00A9068F" w:rsidRDefault="0053202D" w:rsidP="0053202D">
      <w:pPr>
        <w:pStyle w:val="ListParagraph"/>
        <w:numPr>
          <w:ilvl w:val="0"/>
          <w:numId w:val="2"/>
        </w:numPr>
        <w:rPr>
          <w:rFonts w:cs="Arial"/>
          <w:sz w:val="24"/>
          <w:szCs w:val="24"/>
        </w:rPr>
      </w:pPr>
      <w:r w:rsidRPr="00A9068F">
        <w:rPr>
          <w:rFonts w:cs="Arial"/>
          <w:sz w:val="24"/>
          <w:szCs w:val="24"/>
        </w:rPr>
        <w:t xml:space="preserve">What is the value of the transmittance at </w:t>
      </w:r>
      <w:r w:rsidRPr="00850FFD">
        <w:rPr>
          <w:rFonts w:ascii="Symbol" w:hAnsi="Symbol" w:cs="Arial"/>
          <w:sz w:val="24"/>
          <w:szCs w:val="24"/>
        </w:rPr>
        <w:t></w:t>
      </w:r>
      <w:r w:rsidRPr="00A9068F">
        <w:rPr>
          <w:rFonts w:cs="Arial"/>
          <w:sz w:val="24"/>
          <w:szCs w:val="24"/>
          <w:vertAlign w:val="subscript"/>
        </w:rPr>
        <w:t xml:space="preserve">max </w:t>
      </w:r>
      <w:r w:rsidRPr="00A9068F">
        <w:rPr>
          <w:rFonts w:cs="Arial"/>
          <w:sz w:val="24"/>
          <w:szCs w:val="24"/>
        </w:rPr>
        <w:t>for each dye?  What is the value of the absorbance?</w:t>
      </w:r>
    </w:p>
    <w:p w14:paraId="0EF9EED6" w14:textId="77777777" w:rsidR="0053202D" w:rsidRPr="00A9068F" w:rsidRDefault="0053202D" w:rsidP="0053202D">
      <w:pPr>
        <w:pStyle w:val="ListParagraph"/>
        <w:numPr>
          <w:ilvl w:val="0"/>
          <w:numId w:val="2"/>
        </w:numPr>
        <w:rPr>
          <w:rFonts w:cs="Arial"/>
          <w:sz w:val="24"/>
          <w:szCs w:val="24"/>
        </w:rPr>
      </w:pPr>
      <w:r w:rsidRPr="00A9068F">
        <w:rPr>
          <w:rFonts w:cs="Arial"/>
          <w:sz w:val="24"/>
          <w:szCs w:val="24"/>
        </w:rPr>
        <w:t>What wavelength would you choose to quantitatively determine the concentration of the red dye?  Why did you choose this wavelength?</w:t>
      </w:r>
    </w:p>
    <w:p w14:paraId="254C4569" w14:textId="77777777" w:rsidR="0053202D" w:rsidRPr="00A9068F" w:rsidRDefault="0053202D" w:rsidP="0053202D">
      <w:pPr>
        <w:pStyle w:val="ListParagraph"/>
        <w:numPr>
          <w:ilvl w:val="0"/>
          <w:numId w:val="2"/>
        </w:numPr>
        <w:rPr>
          <w:rFonts w:cs="Arial"/>
          <w:sz w:val="24"/>
          <w:szCs w:val="24"/>
        </w:rPr>
      </w:pPr>
      <w:r w:rsidRPr="00A9068F">
        <w:rPr>
          <w:rFonts w:cs="Arial"/>
          <w:sz w:val="24"/>
          <w:szCs w:val="24"/>
        </w:rPr>
        <w:lastRenderedPageBreak/>
        <w:t>What wavelength would you choose to quantitatively determine the concentration of the blue dye?</w:t>
      </w:r>
      <w:r w:rsidR="003D5503" w:rsidRPr="00A9068F">
        <w:rPr>
          <w:rFonts w:cs="Arial"/>
          <w:sz w:val="24"/>
          <w:szCs w:val="24"/>
        </w:rPr>
        <w:t xml:space="preserve"> Why did you choose this wavelength?</w:t>
      </w:r>
    </w:p>
    <w:p w14:paraId="7A0F936D" w14:textId="77777777" w:rsidR="0053202D" w:rsidRPr="00A9068F" w:rsidRDefault="0053202D" w:rsidP="0053202D">
      <w:pPr>
        <w:jc w:val="both"/>
        <w:rPr>
          <w:rFonts w:cs="Arial"/>
          <w:b/>
          <w:sz w:val="24"/>
          <w:szCs w:val="24"/>
        </w:rPr>
      </w:pPr>
      <w:r w:rsidRPr="00A9068F">
        <w:rPr>
          <w:rFonts w:cs="Arial"/>
          <w:b/>
          <w:sz w:val="24"/>
          <w:szCs w:val="24"/>
        </w:rPr>
        <w:t>Determining method’s selectivity</w:t>
      </w:r>
    </w:p>
    <w:p w14:paraId="4297A4F9" w14:textId="77777777" w:rsidR="0053202D" w:rsidRPr="00A9068F" w:rsidRDefault="00A32CE4" w:rsidP="0053202D">
      <w:pPr>
        <w:autoSpaceDE w:val="0"/>
        <w:autoSpaceDN w:val="0"/>
        <w:adjustRightInd w:val="0"/>
        <w:spacing w:after="0" w:line="240" w:lineRule="auto"/>
        <w:rPr>
          <w:rFonts w:cs="Arial"/>
          <w:color w:val="000000"/>
          <w:sz w:val="24"/>
          <w:szCs w:val="24"/>
        </w:rPr>
      </w:pPr>
      <w:r w:rsidRPr="00A9068F">
        <w:rPr>
          <w:rFonts w:cs="Arial"/>
          <w:color w:val="000000"/>
          <w:sz w:val="24"/>
          <w:szCs w:val="24"/>
        </w:rPr>
        <w:t xml:space="preserve">A </w:t>
      </w:r>
      <w:r w:rsidR="0053202D" w:rsidRPr="00A9068F">
        <w:rPr>
          <w:rFonts w:cs="Arial"/>
          <w:color w:val="000000"/>
          <w:sz w:val="24"/>
          <w:szCs w:val="24"/>
        </w:rPr>
        <w:t xml:space="preserve">method’s selectivity </w:t>
      </w:r>
      <w:r w:rsidR="0053202D" w:rsidRPr="00A9068F">
        <w:rPr>
          <w:rFonts w:cs="Arial"/>
          <w:sz w:val="24"/>
          <w:szCs w:val="24"/>
        </w:rPr>
        <w:t xml:space="preserve">refers to the extent to which it can determine particular analyte(s) in a complex mixture without interference from other components in the mixture (4,5). </w:t>
      </w:r>
    </w:p>
    <w:p w14:paraId="4EA0BF58" w14:textId="77777777" w:rsidR="00530308" w:rsidRDefault="00530308" w:rsidP="00530308">
      <w:pPr>
        <w:spacing w:after="0" w:line="240" w:lineRule="auto"/>
        <w:jc w:val="both"/>
        <w:rPr>
          <w:rFonts w:cs="Arial"/>
          <w:color w:val="000000"/>
          <w:sz w:val="24"/>
          <w:szCs w:val="24"/>
        </w:rPr>
      </w:pPr>
    </w:p>
    <w:p w14:paraId="07D97979" w14:textId="77777777" w:rsidR="0053202D" w:rsidRPr="00A9068F" w:rsidRDefault="0053202D" w:rsidP="0053202D">
      <w:pPr>
        <w:jc w:val="both"/>
        <w:rPr>
          <w:rFonts w:cs="Arial"/>
          <w:color w:val="000000"/>
          <w:sz w:val="24"/>
          <w:szCs w:val="24"/>
        </w:rPr>
      </w:pPr>
      <w:r w:rsidRPr="00A9068F">
        <w:rPr>
          <w:rFonts w:cs="Arial"/>
          <w:b/>
          <w:color w:val="000000"/>
          <w:sz w:val="24"/>
          <w:szCs w:val="24"/>
        </w:rPr>
        <w:t>Q4</w:t>
      </w:r>
      <w:r w:rsidRPr="00A9068F">
        <w:rPr>
          <w:rFonts w:cs="Arial"/>
          <w:color w:val="000000"/>
          <w:sz w:val="24"/>
          <w:szCs w:val="24"/>
        </w:rPr>
        <w:t xml:space="preserve">:  Is it possible to determine the concentration of the blue dye if it is contaminated with some of the red dye? </w:t>
      </w:r>
    </w:p>
    <w:p w14:paraId="3D15DD04" w14:textId="77777777" w:rsidR="0053202D" w:rsidRPr="00A9068F" w:rsidRDefault="0053202D" w:rsidP="0053202D">
      <w:pPr>
        <w:jc w:val="both"/>
        <w:rPr>
          <w:rFonts w:cs="Arial"/>
          <w:color w:val="000000"/>
          <w:sz w:val="24"/>
          <w:szCs w:val="24"/>
        </w:rPr>
      </w:pPr>
      <w:r w:rsidRPr="00A9068F">
        <w:rPr>
          <w:rFonts w:cs="Arial"/>
          <w:b/>
          <w:color w:val="000000"/>
          <w:sz w:val="24"/>
          <w:szCs w:val="24"/>
        </w:rPr>
        <w:t>Q5</w:t>
      </w:r>
      <w:r w:rsidRPr="00A9068F">
        <w:rPr>
          <w:rFonts w:cs="Arial"/>
          <w:color w:val="000000"/>
          <w:sz w:val="24"/>
          <w:szCs w:val="24"/>
        </w:rPr>
        <w:t xml:space="preserve">:  When does it become possible to selectively measure the blue dye in presence of the red dye? </w:t>
      </w:r>
    </w:p>
    <w:p w14:paraId="0ACCB5ED" w14:textId="77777777" w:rsidR="0053202D" w:rsidRPr="00A9068F" w:rsidRDefault="0053202D" w:rsidP="0053202D">
      <w:pPr>
        <w:jc w:val="both"/>
        <w:rPr>
          <w:rFonts w:cs="Arial"/>
          <w:b/>
          <w:sz w:val="24"/>
          <w:szCs w:val="24"/>
        </w:rPr>
      </w:pPr>
      <w:r w:rsidRPr="00A9068F">
        <w:rPr>
          <w:rFonts w:cs="Arial"/>
          <w:b/>
          <w:sz w:val="24"/>
          <w:szCs w:val="24"/>
        </w:rPr>
        <w:t>Relationship between absorbance and concentration</w:t>
      </w:r>
    </w:p>
    <w:p w14:paraId="6A6C05E9" w14:textId="77777777" w:rsidR="0053202D" w:rsidRPr="00A9068F" w:rsidRDefault="0053202D" w:rsidP="0053202D">
      <w:pPr>
        <w:rPr>
          <w:rFonts w:cs="Arial"/>
          <w:sz w:val="24"/>
          <w:szCs w:val="24"/>
        </w:rPr>
      </w:pPr>
      <w:r w:rsidRPr="00A9068F">
        <w:rPr>
          <w:rFonts w:cs="Arial"/>
          <w:sz w:val="24"/>
          <w:szCs w:val="24"/>
        </w:rPr>
        <w:t>At the heart of a quantitative estimation of phosphates using UV-VIS spectrophotometry is Beer’s law which states the linear relationship between absorbance and concentration according to the equation:</w:t>
      </w:r>
    </w:p>
    <w:p w14:paraId="4D2B9A0E" w14:textId="77777777" w:rsidR="0053202D" w:rsidRPr="00A9068F" w:rsidRDefault="0053202D" w:rsidP="0053202D">
      <w:pPr>
        <w:ind w:left="360"/>
        <w:jc w:val="both"/>
        <w:rPr>
          <w:rFonts w:cs="Arial"/>
          <w:sz w:val="24"/>
          <w:szCs w:val="24"/>
        </w:rPr>
      </w:pPr>
      <w:r w:rsidRPr="00A9068F">
        <w:rPr>
          <w:rFonts w:cs="Arial"/>
          <w:sz w:val="24"/>
          <w:szCs w:val="24"/>
        </w:rPr>
        <w:t xml:space="preserve">A = </w:t>
      </w:r>
      <w:r w:rsidRPr="00A9068F">
        <w:rPr>
          <w:rFonts w:ascii="Symbol" w:hAnsi="Symbol" w:cs="Arial"/>
          <w:sz w:val="24"/>
          <w:szCs w:val="24"/>
        </w:rPr>
        <w:t></w:t>
      </w:r>
      <w:proofErr w:type="spellStart"/>
      <w:r w:rsidRPr="00A9068F">
        <w:rPr>
          <w:rFonts w:cs="Arial"/>
          <w:sz w:val="24"/>
          <w:szCs w:val="24"/>
        </w:rPr>
        <w:t>bc</w:t>
      </w:r>
      <w:proofErr w:type="spellEnd"/>
      <w:r w:rsidRPr="00A9068F">
        <w:rPr>
          <w:rFonts w:cs="Arial"/>
          <w:sz w:val="24"/>
          <w:szCs w:val="24"/>
        </w:rPr>
        <w:t xml:space="preserve">    </w:t>
      </w:r>
    </w:p>
    <w:p w14:paraId="1CC1DFD5" w14:textId="77777777" w:rsidR="0053202D" w:rsidRPr="00A9068F" w:rsidRDefault="0053202D" w:rsidP="0053202D">
      <w:pPr>
        <w:ind w:left="360"/>
        <w:jc w:val="both"/>
        <w:rPr>
          <w:rFonts w:cs="Arial"/>
          <w:sz w:val="24"/>
          <w:szCs w:val="24"/>
        </w:rPr>
      </w:pPr>
      <w:proofErr w:type="gramStart"/>
      <w:r w:rsidRPr="00A9068F">
        <w:rPr>
          <w:rFonts w:cs="Arial"/>
          <w:sz w:val="24"/>
          <w:szCs w:val="24"/>
        </w:rPr>
        <w:t>where</w:t>
      </w:r>
      <w:proofErr w:type="gramEnd"/>
    </w:p>
    <w:p w14:paraId="54B4B290" w14:textId="77777777" w:rsidR="0053202D" w:rsidRPr="00A9068F" w:rsidRDefault="0053202D" w:rsidP="0053202D">
      <w:pPr>
        <w:spacing w:after="0"/>
        <w:ind w:left="360"/>
        <w:jc w:val="both"/>
        <w:rPr>
          <w:rFonts w:cs="Arial"/>
          <w:sz w:val="24"/>
          <w:szCs w:val="24"/>
        </w:rPr>
      </w:pPr>
      <w:r w:rsidRPr="00A9068F">
        <w:rPr>
          <w:rFonts w:cs="Arial"/>
          <w:sz w:val="24"/>
          <w:szCs w:val="24"/>
        </w:rPr>
        <w:t>A is the absorbance</w:t>
      </w:r>
    </w:p>
    <w:p w14:paraId="33332364" w14:textId="77777777" w:rsidR="0053202D" w:rsidRPr="00A9068F" w:rsidRDefault="0053202D" w:rsidP="0053202D">
      <w:pPr>
        <w:spacing w:after="0"/>
        <w:ind w:left="360"/>
        <w:jc w:val="both"/>
        <w:rPr>
          <w:rFonts w:cs="Arial"/>
          <w:sz w:val="24"/>
          <w:szCs w:val="24"/>
        </w:rPr>
      </w:pPr>
      <w:r w:rsidRPr="00A9068F">
        <w:rPr>
          <w:rFonts w:ascii="Symbol" w:hAnsi="Symbol" w:cs="Arial"/>
          <w:sz w:val="24"/>
          <w:szCs w:val="24"/>
        </w:rPr>
        <w:t></w:t>
      </w:r>
      <w:r w:rsidRPr="00A9068F">
        <w:rPr>
          <w:rFonts w:cs="Arial"/>
          <w:sz w:val="24"/>
          <w:szCs w:val="24"/>
        </w:rPr>
        <w:t xml:space="preserve"> is the molar absorptivity </w:t>
      </w:r>
      <w:r w:rsidR="00A32CE4" w:rsidRPr="00A9068F">
        <w:rPr>
          <w:rFonts w:ascii="Symbol" w:hAnsi="Symbol" w:cs="Arial"/>
          <w:sz w:val="24"/>
          <w:szCs w:val="24"/>
        </w:rPr>
        <w:t></w:t>
      </w:r>
      <w:r w:rsidRPr="00A9068F">
        <w:rPr>
          <w:rFonts w:cs="Arial"/>
          <w:sz w:val="24"/>
          <w:szCs w:val="24"/>
        </w:rPr>
        <w:t xml:space="preserve"> a measure of the probability of the transition – the molar absorptivity is largest at </w:t>
      </w:r>
      <w:r w:rsidRPr="00A9068F">
        <w:rPr>
          <w:rFonts w:ascii="Symbol" w:hAnsi="Symbol" w:cs="Arial"/>
          <w:sz w:val="24"/>
          <w:szCs w:val="24"/>
        </w:rPr>
        <w:t></w:t>
      </w:r>
      <w:r w:rsidRPr="00A9068F">
        <w:rPr>
          <w:rFonts w:cs="Arial"/>
          <w:sz w:val="24"/>
          <w:szCs w:val="24"/>
        </w:rPr>
        <w:t xml:space="preserve"> max, meaning that this is the most probable transition</w:t>
      </w:r>
    </w:p>
    <w:p w14:paraId="4BE18E71" w14:textId="77777777" w:rsidR="0053202D" w:rsidRPr="00A9068F" w:rsidRDefault="0053202D" w:rsidP="0053202D">
      <w:pPr>
        <w:spacing w:after="0"/>
        <w:ind w:left="360"/>
        <w:jc w:val="both"/>
        <w:rPr>
          <w:rFonts w:cs="Arial"/>
          <w:sz w:val="24"/>
          <w:szCs w:val="24"/>
        </w:rPr>
      </w:pPr>
      <w:proofErr w:type="gramStart"/>
      <w:r w:rsidRPr="00A9068F">
        <w:rPr>
          <w:rFonts w:cs="Arial"/>
          <w:sz w:val="24"/>
          <w:szCs w:val="24"/>
        </w:rPr>
        <w:t>b</w:t>
      </w:r>
      <w:proofErr w:type="gramEnd"/>
      <w:r w:rsidRPr="00A9068F">
        <w:rPr>
          <w:rFonts w:cs="Arial"/>
          <w:sz w:val="24"/>
          <w:szCs w:val="24"/>
        </w:rPr>
        <w:t xml:space="preserve"> is the path length of the cuvette</w:t>
      </w:r>
    </w:p>
    <w:p w14:paraId="27225A19" w14:textId="77777777" w:rsidR="0053202D" w:rsidRPr="00A9068F" w:rsidRDefault="0053202D" w:rsidP="0053202D">
      <w:pPr>
        <w:spacing w:after="0"/>
        <w:ind w:left="360"/>
        <w:jc w:val="both"/>
        <w:rPr>
          <w:rFonts w:cs="Arial"/>
          <w:sz w:val="24"/>
          <w:szCs w:val="24"/>
        </w:rPr>
      </w:pPr>
      <w:proofErr w:type="gramStart"/>
      <w:r w:rsidRPr="00A9068F">
        <w:rPr>
          <w:rFonts w:cs="Arial"/>
          <w:sz w:val="24"/>
          <w:szCs w:val="24"/>
        </w:rPr>
        <w:t>c</w:t>
      </w:r>
      <w:proofErr w:type="gramEnd"/>
      <w:r w:rsidRPr="00A9068F">
        <w:rPr>
          <w:rFonts w:cs="Arial"/>
          <w:sz w:val="24"/>
          <w:szCs w:val="24"/>
        </w:rPr>
        <w:t xml:space="preserve"> is the concentration</w:t>
      </w:r>
    </w:p>
    <w:p w14:paraId="6BE72AC6" w14:textId="77777777" w:rsidR="0053202D" w:rsidRPr="00A9068F" w:rsidRDefault="0053202D" w:rsidP="0053202D">
      <w:pPr>
        <w:spacing w:after="0"/>
        <w:ind w:left="360"/>
        <w:jc w:val="both"/>
        <w:rPr>
          <w:rFonts w:cs="Arial"/>
          <w:sz w:val="24"/>
          <w:szCs w:val="24"/>
        </w:rPr>
      </w:pPr>
    </w:p>
    <w:p w14:paraId="1E60E8E4"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Q6</w:t>
      </w:r>
      <w:r w:rsidRPr="00A9068F">
        <w:rPr>
          <w:rFonts w:eastAsia="Times New Roman" w:cs="Arial"/>
          <w:bCs/>
          <w:sz w:val="24"/>
          <w:szCs w:val="24"/>
        </w:rPr>
        <w:t xml:space="preserve">: Draw a representative plot of A versus c if the spectrophotometer is set to </w:t>
      </w:r>
      <w:r w:rsidRPr="00850FFD">
        <w:rPr>
          <w:rFonts w:ascii="Symbol" w:eastAsia="Times New Roman" w:hAnsi="Symbol" w:cs="Arial"/>
          <w:bCs/>
          <w:sz w:val="24"/>
          <w:szCs w:val="24"/>
        </w:rPr>
        <w:t></w:t>
      </w:r>
      <w:r w:rsidRPr="00A9068F">
        <w:rPr>
          <w:rFonts w:eastAsia="Times New Roman" w:cs="Arial"/>
          <w:bCs/>
          <w:sz w:val="24"/>
          <w:szCs w:val="24"/>
        </w:rPr>
        <w:t>max.</w:t>
      </w:r>
    </w:p>
    <w:p w14:paraId="06D32928"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Q7</w:t>
      </w:r>
      <w:r w:rsidRPr="00A9068F">
        <w:rPr>
          <w:rFonts w:eastAsia="Times New Roman" w:cs="Arial"/>
          <w:bCs/>
          <w:sz w:val="24"/>
          <w:szCs w:val="24"/>
        </w:rPr>
        <w:t>: How could you use this plot to determine the concentration of an unknown?</w:t>
      </w:r>
      <w:r w:rsidRPr="00A9068F">
        <w:rPr>
          <w:rFonts w:eastAsia="Times New Roman" w:cs="Arial"/>
          <w:bCs/>
          <w:sz w:val="24"/>
          <w:szCs w:val="24"/>
        </w:rPr>
        <w:br/>
      </w:r>
    </w:p>
    <w:p w14:paraId="6DDE8B17" w14:textId="77777777" w:rsidR="0053202D" w:rsidRPr="00A9068F" w:rsidRDefault="0053202D" w:rsidP="0053202D">
      <w:pPr>
        <w:rPr>
          <w:rFonts w:eastAsia="Times New Roman" w:cs="Arial"/>
          <w:b/>
          <w:bCs/>
          <w:sz w:val="24"/>
          <w:szCs w:val="24"/>
        </w:rPr>
      </w:pPr>
      <w:r w:rsidRPr="00A9068F">
        <w:rPr>
          <w:rFonts w:eastAsia="Times New Roman" w:cs="Arial"/>
          <w:b/>
          <w:bCs/>
          <w:sz w:val="24"/>
          <w:szCs w:val="24"/>
        </w:rPr>
        <w:t xml:space="preserve">Analyzing phosphate by </w:t>
      </w:r>
      <w:r w:rsidR="00594B96">
        <w:rPr>
          <w:rFonts w:eastAsia="Times New Roman" w:cs="Arial"/>
          <w:b/>
          <w:bCs/>
          <w:sz w:val="24"/>
          <w:szCs w:val="24"/>
        </w:rPr>
        <w:t xml:space="preserve">visible </w:t>
      </w:r>
      <w:r w:rsidRPr="00A9068F">
        <w:rPr>
          <w:rFonts w:eastAsia="Times New Roman" w:cs="Arial"/>
          <w:b/>
          <w:bCs/>
          <w:sz w:val="24"/>
          <w:szCs w:val="24"/>
        </w:rPr>
        <w:t>spectrophotometry</w:t>
      </w:r>
    </w:p>
    <w:p w14:paraId="0D8AEDF7" w14:textId="77777777" w:rsidR="0053202D" w:rsidRPr="00A9068F" w:rsidRDefault="0053202D" w:rsidP="0053202D">
      <w:pPr>
        <w:rPr>
          <w:rFonts w:eastAsia="Times New Roman" w:cs="Arial"/>
          <w:bCs/>
          <w:sz w:val="24"/>
          <w:szCs w:val="24"/>
        </w:rPr>
      </w:pPr>
      <w:r w:rsidRPr="00A9068F">
        <w:rPr>
          <w:rFonts w:eastAsia="Times New Roman" w:cs="Arial"/>
          <w:bCs/>
          <w:sz w:val="24"/>
          <w:szCs w:val="24"/>
        </w:rPr>
        <w:t xml:space="preserve">Now that we have developed general background information on spectrophotometric measurements, we can explore specific features of its use in the analysis of phosphate ion. </w:t>
      </w:r>
    </w:p>
    <w:p w14:paraId="25D7D2E8" w14:textId="77777777" w:rsidR="0053202D" w:rsidRPr="00A9068F" w:rsidRDefault="00530308" w:rsidP="0053202D">
      <w:pPr>
        <w:rPr>
          <w:rFonts w:cs="Arial"/>
          <w:sz w:val="24"/>
          <w:szCs w:val="24"/>
        </w:rPr>
      </w:pPr>
      <w:r>
        <w:rPr>
          <w:rFonts w:cs="Arial"/>
          <w:sz w:val="24"/>
          <w:szCs w:val="24"/>
        </w:rPr>
        <w:t xml:space="preserve">In question 3 you were asked if phosphate has the ability to absorb UV or VIS light.  Most likely the anion does absorb light but such absorbance is not sensitive and specific enough to base a quantitative method of analysis.  One strategy to improve analysis sensitivity is to react the </w:t>
      </w:r>
      <w:r>
        <w:rPr>
          <w:rFonts w:cs="Arial"/>
          <w:sz w:val="24"/>
          <w:szCs w:val="24"/>
        </w:rPr>
        <w:lastRenderedPageBreak/>
        <w:t xml:space="preserve">species, in this case phosphate, with a reagent that forms a new molecule capable of absorbing light at a specific wavelength.  </w:t>
      </w:r>
      <w:r w:rsidR="0053202D" w:rsidRPr="00A9068F">
        <w:rPr>
          <w:rFonts w:cs="Arial"/>
          <w:sz w:val="24"/>
          <w:szCs w:val="24"/>
        </w:rPr>
        <w:t xml:space="preserve">The amount of phosphorous as orthophosphate </w:t>
      </w:r>
      <w:r w:rsidR="004C4A05" w:rsidRPr="00A9068F">
        <w:rPr>
          <w:rFonts w:cs="Arial"/>
          <w:sz w:val="24"/>
          <w:szCs w:val="24"/>
        </w:rPr>
        <w:t>(PO</w:t>
      </w:r>
      <w:r w:rsidR="004C4A05" w:rsidRPr="00A9068F">
        <w:rPr>
          <w:rFonts w:cs="Arial"/>
          <w:sz w:val="24"/>
          <w:szCs w:val="24"/>
          <w:vertAlign w:val="subscript"/>
        </w:rPr>
        <w:t>4</w:t>
      </w:r>
      <w:r w:rsidR="004C4A05" w:rsidRPr="00A9068F">
        <w:rPr>
          <w:rFonts w:cs="Arial"/>
          <w:sz w:val="24"/>
          <w:szCs w:val="24"/>
          <w:vertAlign w:val="superscript"/>
        </w:rPr>
        <w:t>3-</w:t>
      </w:r>
      <w:r w:rsidR="004C4A05" w:rsidRPr="00A9068F">
        <w:rPr>
          <w:rFonts w:cs="Arial"/>
          <w:sz w:val="24"/>
          <w:szCs w:val="24"/>
        </w:rPr>
        <w:t xml:space="preserve">) </w:t>
      </w:r>
      <w:r w:rsidR="0053202D" w:rsidRPr="00A9068F">
        <w:rPr>
          <w:rFonts w:cs="Arial"/>
          <w:sz w:val="24"/>
          <w:szCs w:val="24"/>
        </w:rPr>
        <w:t xml:space="preserve">present in a water sample may be </w:t>
      </w:r>
      <w:r>
        <w:rPr>
          <w:rFonts w:cs="Arial"/>
          <w:sz w:val="24"/>
          <w:szCs w:val="24"/>
        </w:rPr>
        <w:t xml:space="preserve">best </w:t>
      </w:r>
      <w:r w:rsidR="0053202D" w:rsidRPr="00A9068F">
        <w:rPr>
          <w:rFonts w:cs="Arial"/>
          <w:sz w:val="24"/>
          <w:szCs w:val="24"/>
        </w:rPr>
        <w:t xml:space="preserve">determined by the ascorbic acid/molybdenum blue method (1-3).  In this method, ammonium </w:t>
      </w:r>
      <w:proofErr w:type="spellStart"/>
      <w:r w:rsidR="0053202D" w:rsidRPr="00A9068F">
        <w:rPr>
          <w:rFonts w:cs="Arial"/>
          <w:sz w:val="24"/>
          <w:szCs w:val="24"/>
        </w:rPr>
        <w:t>paramolybdate</w:t>
      </w:r>
      <w:proofErr w:type="spellEnd"/>
      <w:r w:rsidR="0053202D" w:rsidRPr="00A9068F">
        <w:rPr>
          <w:rFonts w:cs="Arial"/>
          <w:sz w:val="24"/>
          <w:szCs w:val="24"/>
        </w:rPr>
        <w:t>, (</w:t>
      </w:r>
      <w:proofErr w:type="gramStart"/>
      <w:r w:rsidR="0053202D" w:rsidRPr="00A9068F">
        <w:rPr>
          <w:rFonts w:cs="Arial"/>
          <w:sz w:val="24"/>
          <w:szCs w:val="24"/>
        </w:rPr>
        <w:t>NH</w:t>
      </w:r>
      <w:r w:rsidR="0053202D" w:rsidRPr="00A9068F">
        <w:rPr>
          <w:rFonts w:cs="Arial"/>
          <w:sz w:val="24"/>
          <w:szCs w:val="24"/>
          <w:vertAlign w:val="subscript"/>
        </w:rPr>
        <w:t>4</w:t>
      </w:r>
      <w:r w:rsidR="0053202D" w:rsidRPr="00A9068F">
        <w:rPr>
          <w:rFonts w:cs="Arial"/>
          <w:sz w:val="24"/>
          <w:szCs w:val="24"/>
        </w:rPr>
        <w:t>)</w:t>
      </w:r>
      <w:r w:rsidR="0053202D" w:rsidRPr="00A9068F">
        <w:rPr>
          <w:rFonts w:cs="Arial"/>
          <w:sz w:val="24"/>
          <w:szCs w:val="24"/>
          <w:vertAlign w:val="subscript"/>
        </w:rPr>
        <w:t>6</w:t>
      </w:r>
      <w:r w:rsidR="0053202D" w:rsidRPr="00A9068F">
        <w:rPr>
          <w:rFonts w:cs="Arial"/>
          <w:sz w:val="24"/>
          <w:szCs w:val="24"/>
        </w:rPr>
        <w:t>Mo</w:t>
      </w:r>
      <w:r w:rsidR="0053202D" w:rsidRPr="00A9068F">
        <w:rPr>
          <w:rFonts w:cs="Arial"/>
          <w:sz w:val="24"/>
          <w:szCs w:val="24"/>
          <w:vertAlign w:val="subscript"/>
        </w:rPr>
        <w:t>7</w:t>
      </w:r>
      <w:r w:rsidR="0053202D" w:rsidRPr="00A9068F">
        <w:rPr>
          <w:rFonts w:cs="Arial"/>
          <w:sz w:val="24"/>
          <w:szCs w:val="24"/>
        </w:rPr>
        <w:t>O</w:t>
      </w:r>
      <w:r w:rsidR="0053202D" w:rsidRPr="00A9068F">
        <w:rPr>
          <w:rFonts w:cs="Arial"/>
          <w:sz w:val="24"/>
          <w:szCs w:val="24"/>
          <w:vertAlign w:val="subscript"/>
        </w:rPr>
        <w:t>24</w:t>
      </w:r>
      <w:r w:rsidR="0053202D" w:rsidRPr="00A9068F">
        <w:rPr>
          <w:rFonts w:cs="Arial"/>
          <w:sz w:val="24"/>
          <w:szCs w:val="24"/>
        </w:rPr>
        <w:t>∙4H</w:t>
      </w:r>
      <w:r w:rsidR="0053202D" w:rsidRPr="00A9068F">
        <w:rPr>
          <w:rFonts w:cs="Arial"/>
          <w:sz w:val="24"/>
          <w:szCs w:val="24"/>
          <w:vertAlign w:val="subscript"/>
        </w:rPr>
        <w:t>2</w:t>
      </w:r>
      <w:r w:rsidR="0053202D" w:rsidRPr="00A9068F">
        <w:rPr>
          <w:rFonts w:cs="Arial"/>
          <w:sz w:val="24"/>
          <w:szCs w:val="24"/>
        </w:rPr>
        <w:t>O</w:t>
      </w:r>
      <w:proofErr w:type="gramEnd"/>
      <w:r w:rsidR="0053202D" w:rsidRPr="00A9068F">
        <w:rPr>
          <w:rFonts w:cs="Arial"/>
          <w:sz w:val="24"/>
          <w:szCs w:val="24"/>
        </w:rPr>
        <w:t xml:space="preserve">, reacts with orthophosphate in acidic solution and in the presence of potassium </w:t>
      </w:r>
      <w:proofErr w:type="spellStart"/>
      <w:r w:rsidR="0053202D" w:rsidRPr="00A9068F">
        <w:rPr>
          <w:rFonts w:cs="Arial"/>
          <w:sz w:val="24"/>
          <w:szCs w:val="24"/>
        </w:rPr>
        <w:t>antimonyl</w:t>
      </w:r>
      <w:proofErr w:type="spellEnd"/>
      <w:r w:rsidR="0053202D" w:rsidRPr="00A9068F">
        <w:rPr>
          <w:rFonts w:cs="Arial"/>
          <w:sz w:val="24"/>
          <w:szCs w:val="24"/>
        </w:rPr>
        <w:t xml:space="preserve"> tartrate, C</w:t>
      </w:r>
      <w:r w:rsidR="0053202D" w:rsidRPr="00A9068F">
        <w:rPr>
          <w:rFonts w:cs="Arial"/>
          <w:sz w:val="24"/>
          <w:szCs w:val="24"/>
          <w:vertAlign w:val="subscript"/>
        </w:rPr>
        <w:t>8</w:t>
      </w:r>
      <w:r w:rsidR="0053202D" w:rsidRPr="00A9068F">
        <w:rPr>
          <w:rFonts w:cs="Arial"/>
          <w:sz w:val="24"/>
          <w:szCs w:val="24"/>
        </w:rPr>
        <w:t>H</w:t>
      </w:r>
      <w:r w:rsidR="0053202D" w:rsidRPr="00A9068F">
        <w:rPr>
          <w:rFonts w:cs="Arial"/>
          <w:sz w:val="24"/>
          <w:szCs w:val="24"/>
          <w:vertAlign w:val="subscript"/>
        </w:rPr>
        <w:t>4</w:t>
      </w:r>
      <w:r w:rsidR="0053202D" w:rsidRPr="00A9068F">
        <w:rPr>
          <w:rFonts w:cs="Arial"/>
          <w:sz w:val="24"/>
          <w:szCs w:val="24"/>
        </w:rPr>
        <w:t>K</w:t>
      </w:r>
      <w:r w:rsidR="0053202D" w:rsidRPr="00A9068F">
        <w:rPr>
          <w:rFonts w:cs="Arial"/>
          <w:sz w:val="24"/>
          <w:szCs w:val="24"/>
          <w:vertAlign w:val="subscript"/>
        </w:rPr>
        <w:t>2</w:t>
      </w:r>
      <w:r w:rsidR="0053202D" w:rsidRPr="00A9068F">
        <w:rPr>
          <w:rFonts w:cs="Arial"/>
          <w:sz w:val="24"/>
          <w:szCs w:val="24"/>
        </w:rPr>
        <w:t>O</w:t>
      </w:r>
      <w:r w:rsidR="0053202D" w:rsidRPr="00A9068F">
        <w:rPr>
          <w:rFonts w:cs="Arial"/>
          <w:sz w:val="24"/>
          <w:szCs w:val="24"/>
          <w:vertAlign w:val="subscript"/>
        </w:rPr>
        <w:t>12</w:t>
      </w:r>
      <w:r w:rsidR="0053202D" w:rsidRPr="00A9068F">
        <w:rPr>
          <w:rFonts w:cs="Arial"/>
          <w:sz w:val="24"/>
          <w:szCs w:val="24"/>
        </w:rPr>
        <w:t>Sb</w:t>
      </w:r>
      <w:r w:rsidR="0053202D" w:rsidRPr="00A9068F">
        <w:rPr>
          <w:rFonts w:cs="Arial"/>
          <w:sz w:val="24"/>
          <w:szCs w:val="24"/>
          <w:vertAlign w:val="subscript"/>
        </w:rPr>
        <w:t>2</w:t>
      </w:r>
      <w:r w:rsidR="0053202D" w:rsidRPr="00A9068F">
        <w:rPr>
          <w:rFonts w:cs="Arial"/>
          <w:sz w:val="24"/>
          <w:szCs w:val="24"/>
        </w:rPr>
        <w:t xml:space="preserve">, to produce </w:t>
      </w:r>
      <w:proofErr w:type="spellStart"/>
      <w:r w:rsidR="0053202D" w:rsidRPr="00A9068F">
        <w:rPr>
          <w:rFonts w:cs="Arial"/>
          <w:sz w:val="24"/>
          <w:szCs w:val="24"/>
        </w:rPr>
        <w:t>phosphomolybdic</w:t>
      </w:r>
      <w:proofErr w:type="spellEnd"/>
      <w:r w:rsidR="0053202D" w:rsidRPr="00A9068F">
        <w:rPr>
          <w:rFonts w:cs="Arial"/>
          <w:sz w:val="24"/>
          <w:szCs w:val="24"/>
        </w:rPr>
        <w:t xml:space="preserve"> acid, H</w:t>
      </w:r>
      <w:r w:rsidR="0053202D" w:rsidRPr="00A9068F">
        <w:rPr>
          <w:rFonts w:cs="Arial"/>
          <w:sz w:val="24"/>
          <w:szCs w:val="24"/>
          <w:vertAlign w:val="subscript"/>
        </w:rPr>
        <w:t>3</w:t>
      </w:r>
      <w:r w:rsidR="0053202D" w:rsidRPr="00A9068F">
        <w:rPr>
          <w:rFonts w:cs="Arial"/>
          <w:sz w:val="24"/>
          <w:szCs w:val="24"/>
        </w:rPr>
        <w:t>[P(Mo</w:t>
      </w:r>
      <w:r w:rsidR="0053202D" w:rsidRPr="00A9068F">
        <w:rPr>
          <w:rFonts w:cs="Arial"/>
          <w:sz w:val="24"/>
          <w:szCs w:val="24"/>
          <w:vertAlign w:val="subscript"/>
        </w:rPr>
        <w:t>3</w:t>
      </w:r>
      <w:r w:rsidR="0053202D" w:rsidRPr="00A9068F">
        <w:rPr>
          <w:rFonts w:cs="Arial"/>
          <w:sz w:val="24"/>
          <w:szCs w:val="24"/>
        </w:rPr>
        <w:t>O</w:t>
      </w:r>
      <w:r w:rsidR="0053202D" w:rsidRPr="00A9068F">
        <w:rPr>
          <w:rFonts w:cs="Arial"/>
          <w:sz w:val="24"/>
          <w:szCs w:val="24"/>
          <w:vertAlign w:val="subscript"/>
        </w:rPr>
        <w:t>10</w:t>
      </w:r>
      <w:r w:rsidR="0053202D" w:rsidRPr="00A9068F">
        <w:rPr>
          <w:rFonts w:cs="Arial"/>
          <w:sz w:val="24"/>
          <w:szCs w:val="24"/>
        </w:rPr>
        <w:t>)</w:t>
      </w:r>
      <w:r w:rsidR="0053202D" w:rsidRPr="00A9068F">
        <w:rPr>
          <w:rFonts w:cs="Arial"/>
          <w:sz w:val="24"/>
          <w:szCs w:val="24"/>
          <w:vertAlign w:val="subscript"/>
        </w:rPr>
        <w:t>4</w:t>
      </w:r>
      <w:r w:rsidR="0053202D" w:rsidRPr="00A9068F">
        <w:rPr>
          <w:rFonts w:cs="Arial"/>
          <w:sz w:val="24"/>
          <w:szCs w:val="24"/>
        </w:rPr>
        <w:t>].  This acid, in turn, is reduced by ascorbic acid, C</w:t>
      </w:r>
      <w:r w:rsidR="0053202D" w:rsidRPr="00A9068F">
        <w:rPr>
          <w:rFonts w:cs="Arial"/>
          <w:sz w:val="24"/>
          <w:szCs w:val="24"/>
          <w:vertAlign w:val="subscript"/>
        </w:rPr>
        <w:t>6</w:t>
      </w:r>
      <w:r w:rsidR="0053202D" w:rsidRPr="00A9068F">
        <w:rPr>
          <w:rFonts w:cs="Arial"/>
          <w:sz w:val="24"/>
          <w:szCs w:val="24"/>
        </w:rPr>
        <w:t>H</w:t>
      </w:r>
      <w:r w:rsidR="0053202D" w:rsidRPr="00A9068F">
        <w:rPr>
          <w:rFonts w:cs="Arial"/>
          <w:sz w:val="24"/>
          <w:szCs w:val="24"/>
          <w:vertAlign w:val="subscript"/>
        </w:rPr>
        <w:t>8</w:t>
      </w:r>
      <w:r w:rsidR="0053202D" w:rsidRPr="00A9068F">
        <w:rPr>
          <w:rFonts w:cs="Arial"/>
          <w:sz w:val="24"/>
          <w:szCs w:val="24"/>
        </w:rPr>
        <w:t>O</w:t>
      </w:r>
      <w:r w:rsidR="0053202D" w:rsidRPr="00A9068F">
        <w:rPr>
          <w:rFonts w:cs="Arial"/>
          <w:sz w:val="24"/>
          <w:szCs w:val="24"/>
          <w:vertAlign w:val="subscript"/>
        </w:rPr>
        <w:t>6</w:t>
      </w:r>
      <w:r w:rsidR="0053202D" w:rsidRPr="00A9068F">
        <w:rPr>
          <w:rFonts w:cs="Arial"/>
          <w:sz w:val="24"/>
          <w:szCs w:val="24"/>
        </w:rPr>
        <w:t xml:space="preserve">, to produce intensely colored molybdenum blue.  “Molybdenum blue” is actually not a single compound, but a complex mixture of </w:t>
      </w:r>
      <w:proofErr w:type="spellStart"/>
      <w:r w:rsidR="0053202D" w:rsidRPr="00A9068F">
        <w:rPr>
          <w:rFonts w:cs="Arial"/>
          <w:sz w:val="24"/>
          <w:szCs w:val="24"/>
        </w:rPr>
        <w:t>polyoxomolybdate</w:t>
      </w:r>
      <w:proofErr w:type="spellEnd"/>
      <w:r w:rsidR="0053202D" w:rsidRPr="00A9068F">
        <w:rPr>
          <w:rFonts w:cs="Arial"/>
          <w:sz w:val="24"/>
          <w:szCs w:val="24"/>
        </w:rPr>
        <w:t xml:space="preserve"> (POM) ions.  The role of potassium </w:t>
      </w:r>
      <w:proofErr w:type="spellStart"/>
      <w:r w:rsidR="0053202D" w:rsidRPr="00A9068F">
        <w:rPr>
          <w:rFonts w:cs="Arial"/>
          <w:sz w:val="24"/>
          <w:szCs w:val="24"/>
        </w:rPr>
        <w:t>antimonyl</w:t>
      </w:r>
      <w:proofErr w:type="spellEnd"/>
      <w:r w:rsidR="0053202D" w:rsidRPr="00A9068F">
        <w:rPr>
          <w:rFonts w:cs="Arial"/>
          <w:sz w:val="24"/>
          <w:szCs w:val="24"/>
        </w:rPr>
        <w:t xml:space="preserve"> tartrate is as a catalyst.</w:t>
      </w:r>
    </w:p>
    <w:p w14:paraId="63C2CE45" w14:textId="77777777" w:rsidR="0053202D" w:rsidRPr="00A9068F" w:rsidRDefault="0053202D" w:rsidP="0053202D">
      <w:pPr>
        <w:jc w:val="both"/>
        <w:rPr>
          <w:rFonts w:cs="Arial"/>
          <w:sz w:val="24"/>
          <w:szCs w:val="24"/>
        </w:rPr>
      </w:pPr>
      <w:r w:rsidRPr="00A9068F">
        <w:rPr>
          <w:rFonts w:cs="Arial"/>
          <w:sz w:val="24"/>
          <w:szCs w:val="24"/>
        </w:rPr>
        <w:t xml:space="preserve">Below is a spectrum </w:t>
      </w:r>
      <w:r w:rsidR="005F517D" w:rsidRPr="00A9068F">
        <w:rPr>
          <w:rFonts w:cs="Arial"/>
          <w:sz w:val="24"/>
          <w:szCs w:val="24"/>
        </w:rPr>
        <w:t xml:space="preserve">recorded on </w:t>
      </w:r>
      <w:r w:rsidRPr="00A9068F">
        <w:rPr>
          <w:rFonts w:cs="Arial"/>
          <w:sz w:val="24"/>
          <w:szCs w:val="24"/>
        </w:rPr>
        <w:t>phosphate solution</w:t>
      </w:r>
      <w:r w:rsidR="005F517D" w:rsidRPr="00A9068F">
        <w:rPr>
          <w:rFonts w:cs="Arial"/>
          <w:sz w:val="24"/>
          <w:szCs w:val="24"/>
        </w:rPr>
        <w:t>s of increasing concentrations</w:t>
      </w:r>
      <w:r w:rsidRPr="00A9068F">
        <w:rPr>
          <w:rFonts w:cs="Arial"/>
          <w:sz w:val="24"/>
          <w:szCs w:val="24"/>
        </w:rPr>
        <w:t xml:space="preserve"> after reaction with the molybdenum blue </w:t>
      </w:r>
      <w:proofErr w:type="gramStart"/>
      <w:r w:rsidRPr="00A9068F">
        <w:rPr>
          <w:rFonts w:cs="Arial"/>
          <w:sz w:val="24"/>
          <w:szCs w:val="24"/>
        </w:rPr>
        <w:t>reagent.</w:t>
      </w:r>
      <w:proofErr w:type="gramEnd"/>
    </w:p>
    <w:p w14:paraId="43700B8D" w14:textId="77777777" w:rsidR="005F517D" w:rsidRPr="00A9068F" w:rsidRDefault="00114B49" w:rsidP="005F517D">
      <w:pPr>
        <w:jc w:val="center"/>
        <w:rPr>
          <w:rFonts w:cs="Arial"/>
          <w:b/>
          <w:sz w:val="24"/>
          <w:szCs w:val="24"/>
        </w:rPr>
      </w:pPr>
      <w:r w:rsidRPr="00A9068F">
        <w:rPr>
          <w:noProof/>
          <w:sz w:val="24"/>
          <w:szCs w:val="24"/>
        </w:rPr>
        <w:drawing>
          <wp:inline distT="0" distB="0" distL="0" distR="0" wp14:anchorId="59D17A25" wp14:editId="5447CFB5">
            <wp:extent cx="3143250" cy="2600325"/>
            <wp:effectExtent l="0" t="0" r="0" b="9525"/>
            <wp:docPr id="1" name="Picture 1" descr="http://docsdrive.com/images/ansinet/jbs/2007/fig2-2k7-1448-14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sdrive.com/images/ansinet/jbs/2007/fig2-2k7-1448-145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3250" cy="2600325"/>
                    </a:xfrm>
                    <a:prstGeom prst="rect">
                      <a:avLst/>
                    </a:prstGeom>
                    <a:noFill/>
                    <a:ln>
                      <a:noFill/>
                    </a:ln>
                  </pic:spPr>
                </pic:pic>
              </a:graphicData>
            </a:graphic>
          </wp:inline>
        </w:drawing>
      </w:r>
    </w:p>
    <w:p w14:paraId="3C77FBEF" w14:textId="77777777" w:rsidR="005F517D" w:rsidRPr="00A9068F" w:rsidRDefault="005F517D" w:rsidP="0053202D">
      <w:pPr>
        <w:jc w:val="both"/>
        <w:rPr>
          <w:rFonts w:cs="Arial"/>
          <w:b/>
          <w:sz w:val="24"/>
          <w:szCs w:val="24"/>
        </w:rPr>
      </w:pPr>
    </w:p>
    <w:p w14:paraId="6208E640" w14:textId="77777777" w:rsidR="0053202D" w:rsidRPr="00A9068F" w:rsidRDefault="0053202D" w:rsidP="0053202D">
      <w:pPr>
        <w:jc w:val="both"/>
        <w:rPr>
          <w:rFonts w:cs="Arial"/>
          <w:sz w:val="24"/>
          <w:szCs w:val="24"/>
        </w:rPr>
      </w:pPr>
      <w:r w:rsidRPr="00A9068F">
        <w:rPr>
          <w:rFonts w:cs="Arial"/>
          <w:b/>
          <w:sz w:val="24"/>
          <w:szCs w:val="24"/>
        </w:rPr>
        <w:t>Q8</w:t>
      </w:r>
      <w:r w:rsidRPr="00A9068F">
        <w:rPr>
          <w:rFonts w:cs="Arial"/>
          <w:sz w:val="24"/>
          <w:szCs w:val="24"/>
        </w:rPr>
        <w:t>: What wavelength would you choose to quantitatively determine orthophosphate by the molybdenum blue method?</w:t>
      </w:r>
    </w:p>
    <w:p w14:paraId="0A760AB5" w14:textId="77777777" w:rsidR="00A9068F" w:rsidRDefault="00A9068F" w:rsidP="0053202D">
      <w:pPr>
        <w:jc w:val="both"/>
        <w:rPr>
          <w:rFonts w:cs="Arial"/>
          <w:b/>
          <w:color w:val="000000"/>
          <w:sz w:val="24"/>
          <w:szCs w:val="24"/>
        </w:rPr>
      </w:pPr>
    </w:p>
    <w:p w14:paraId="6D8572FB" w14:textId="77777777" w:rsidR="0053202D" w:rsidRPr="00A9068F" w:rsidRDefault="0053202D" w:rsidP="0053202D">
      <w:pPr>
        <w:jc w:val="both"/>
        <w:rPr>
          <w:rFonts w:cs="Arial"/>
          <w:b/>
          <w:color w:val="000000"/>
          <w:sz w:val="24"/>
          <w:szCs w:val="24"/>
        </w:rPr>
      </w:pPr>
      <w:r w:rsidRPr="00A9068F">
        <w:rPr>
          <w:rFonts w:cs="Arial"/>
          <w:b/>
          <w:color w:val="000000"/>
          <w:sz w:val="24"/>
          <w:szCs w:val="24"/>
        </w:rPr>
        <w:t>Assessment of possible interferences</w:t>
      </w:r>
    </w:p>
    <w:p w14:paraId="3398EDFC" w14:textId="77777777" w:rsidR="0053202D" w:rsidRPr="00A9068F" w:rsidRDefault="0053202D" w:rsidP="0053202D">
      <w:pPr>
        <w:jc w:val="both"/>
        <w:rPr>
          <w:rFonts w:cs="Arial"/>
          <w:color w:val="000000"/>
          <w:sz w:val="24"/>
          <w:szCs w:val="24"/>
        </w:rPr>
      </w:pPr>
      <w:r w:rsidRPr="00A9068F">
        <w:rPr>
          <w:rFonts w:cs="Arial"/>
          <w:b/>
          <w:color w:val="000000"/>
          <w:sz w:val="24"/>
          <w:szCs w:val="24"/>
        </w:rPr>
        <w:t>Q9</w:t>
      </w:r>
      <w:r w:rsidRPr="00A9068F">
        <w:rPr>
          <w:rFonts w:cs="Arial"/>
          <w:color w:val="000000"/>
          <w:sz w:val="24"/>
          <w:szCs w:val="24"/>
        </w:rPr>
        <w:t>: What potential interferences would limit the measurement of orthophosphate using the molybdenum blue method?</w:t>
      </w:r>
    </w:p>
    <w:p w14:paraId="0CEEBE7B" w14:textId="77777777" w:rsidR="0053202D" w:rsidRPr="00A9068F" w:rsidRDefault="0053202D" w:rsidP="0053202D">
      <w:pPr>
        <w:jc w:val="both"/>
        <w:rPr>
          <w:rFonts w:cs="Arial"/>
          <w:color w:val="000000"/>
          <w:sz w:val="24"/>
          <w:szCs w:val="24"/>
        </w:rPr>
      </w:pPr>
      <w:r w:rsidRPr="00A9068F">
        <w:rPr>
          <w:rFonts w:cs="Arial"/>
          <w:b/>
          <w:color w:val="000000"/>
          <w:sz w:val="24"/>
          <w:szCs w:val="24"/>
        </w:rPr>
        <w:t>Q10</w:t>
      </w:r>
      <w:r w:rsidRPr="00A9068F">
        <w:rPr>
          <w:rFonts w:cs="Arial"/>
          <w:color w:val="000000"/>
          <w:sz w:val="24"/>
          <w:szCs w:val="24"/>
        </w:rPr>
        <w:t>: What steps could you take in the sample preparation to decrease the chances of interfering species in the orthophosphate analysis?</w:t>
      </w:r>
    </w:p>
    <w:p w14:paraId="3E0E37AC"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lastRenderedPageBreak/>
        <w:t>Q11</w:t>
      </w:r>
      <w:r w:rsidRPr="00A9068F">
        <w:rPr>
          <w:rFonts w:eastAsia="Times New Roman" w:cs="Arial"/>
          <w:bCs/>
          <w:sz w:val="24"/>
          <w:szCs w:val="24"/>
        </w:rPr>
        <w:t>: Looking at the interferences listed in EPA method 365.1 will any of these affect the way you will analyze your sample for orthophosphate?</w:t>
      </w:r>
    </w:p>
    <w:p w14:paraId="427A83CC" w14:textId="77777777" w:rsidR="0053202D" w:rsidRPr="00A9068F" w:rsidRDefault="0053202D" w:rsidP="0053202D">
      <w:pPr>
        <w:rPr>
          <w:rFonts w:eastAsia="Times New Roman" w:cs="Arial"/>
          <w:b/>
          <w:bCs/>
          <w:sz w:val="24"/>
          <w:szCs w:val="24"/>
        </w:rPr>
      </w:pPr>
      <w:r w:rsidRPr="00A9068F">
        <w:rPr>
          <w:rFonts w:eastAsia="Times New Roman" w:cs="Arial"/>
          <w:b/>
          <w:bCs/>
          <w:sz w:val="24"/>
          <w:szCs w:val="24"/>
        </w:rPr>
        <w:t>Preparing calibration standards for phosphate analysis</w:t>
      </w:r>
    </w:p>
    <w:p w14:paraId="711EF96E" w14:textId="77777777" w:rsidR="0053202D" w:rsidRPr="00A9068F" w:rsidRDefault="00A32CE4" w:rsidP="0053202D">
      <w:pPr>
        <w:rPr>
          <w:rFonts w:eastAsia="Times New Roman" w:cs="Arial"/>
          <w:bCs/>
          <w:sz w:val="24"/>
          <w:szCs w:val="24"/>
        </w:rPr>
      </w:pPr>
      <w:r w:rsidRPr="00A9068F">
        <w:rPr>
          <w:rFonts w:eastAsia="Times New Roman" w:cs="Arial"/>
          <w:bCs/>
          <w:sz w:val="24"/>
          <w:szCs w:val="24"/>
        </w:rPr>
        <w:t>Y</w:t>
      </w:r>
      <w:r w:rsidR="0053202D" w:rsidRPr="00A9068F">
        <w:rPr>
          <w:rFonts w:eastAsia="Times New Roman" w:cs="Arial"/>
          <w:bCs/>
          <w:sz w:val="24"/>
          <w:szCs w:val="24"/>
        </w:rPr>
        <w:t xml:space="preserve">ou are </w:t>
      </w:r>
      <w:r w:rsidRPr="00A9068F">
        <w:rPr>
          <w:rFonts w:eastAsia="Times New Roman" w:cs="Arial"/>
          <w:bCs/>
          <w:sz w:val="24"/>
          <w:szCs w:val="24"/>
        </w:rPr>
        <w:t xml:space="preserve">now </w:t>
      </w:r>
      <w:r w:rsidR="0053202D" w:rsidRPr="00A9068F">
        <w:rPr>
          <w:rFonts w:eastAsia="Times New Roman" w:cs="Arial"/>
          <w:bCs/>
          <w:sz w:val="24"/>
          <w:szCs w:val="24"/>
        </w:rPr>
        <w:t>going to prepare a set of phosphate calibration standards and use them to calibrate the spectrophotometer.</w:t>
      </w:r>
    </w:p>
    <w:p w14:paraId="4C53E660"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Q12</w:t>
      </w:r>
      <w:r w:rsidRPr="00A9068F">
        <w:rPr>
          <w:rFonts w:eastAsia="Times New Roman" w:cs="Arial"/>
          <w:bCs/>
          <w:sz w:val="24"/>
          <w:szCs w:val="24"/>
        </w:rPr>
        <w:t>: Given that a stock solution of 3 mg/L phosphate (PO</w:t>
      </w:r>
      <w:r w:rsidRPr="00A9068F">
        <w:rPr>
          <w:rFonts w:eastAsia="Times New Roman" w:cs="Arial"/>
          <w:bCs/>
          <w:sz w:val="24"/>
          <w:szCs w:val="24"/>
          <w:vertAlign w:val="subscript"/>
        </w:rPr>
        <w:t>4</w:t>
      </w:r>
      <w:r w:rsidRPr="00A9068F">
        <w:rPr>
          <w:rFonts w:eastAsia="Times New Roman" w:cs="Arial"/>
          <w:bCs/>
          <w:sz w:val="24"/>
          <w:szCs w:val="24"/>
          <w:vertAlign w:val="superscript"/>
        </w:rPr>
        <w:t>3-</w:t>
      </w:r>
      <w:r w:rsidRPr="00A9068F">
        <w:rPr>
          <w:rFonts w:eastAsia="Times New Roman" w:cs="Arial"/>
          <w:bCs/>
          <w:sz w:val="24"/>
          <w:szCs w:val="24"/>
        </w:rPr>
        <w:t xml:space="preserve">) is equivalent to a concentration of 1 mg/L </w:t>
      </w:r>
      <w:r w:rsidR="00A32CE4" w:rsidRPr="00A9068F">
        <w:rPr>
          <w:rFonts w:eastAsia="Times New Roman" w:cs="Arial"/>
          <w:bCs/>
          <w:sz w:val="24"/>
          <w:szCs w:val="24"/>
        </w:rPr>
        <w:t xml:space="preserve">of elemental </w:t>
      </w:r>
      <w:r w:rsidRPr="00A9068F">
        <w:rPr>
          <w:rFonts w:eastAsia="Times New Roman" w:cs="Arial"/>
          <w:bCs/>
          <w:sz w:val="24"/>
          <w:szCs w:val="24"/>
        </w:rPr>
        <w:t>phosphorous (P), how many milliliters will you have to pipette to prepare 25.00 mL of the following six standards?</w:t>
      </w:r>
    </w:p>
    <w:p w14:paraId="49B9BCA1" w14:textId="77777777" w:rsidR="0028158C" w:rsidRPr="00A9068F" w:rsidRDefault="0028158C" w:rsidP="0053202D">
      <w:pPr>
        <w:rPr>
          <w:rFonts w:eastAsia="Times New Roman" w:cs="Arial"/>
          <w:bCs/>
          <w:sz w:val="24"/>
          <w:szCs w:val="24"/>
        </w:rPr>
      </w:pPr>
    </w:p>
    <w:tbl>
      <w:tblPr>
        <w:tblStyle w:val="TableGrid"/>
        <w:tblW w:w="0" w:type="auto"/>
        <w:tblInd w:w="2808" w:type="dxa"/>
        <w:tblLook w:val="04A0" w:firstRow="1" w:lastRow="0" w:firstColumn="1" w:lastColumn="0" w:noHBand="0" w:noVBand="1"/>
      </w:tblPr>
      <w:tblGrid>
        <w:gridCol w:w="1800"/>
        <w:gridCol w:w="2610"/>
      </w:tblGrid>
      <w:tr w:rsidR="0053202D" w:rsidRPr="00A9068F" w14:paraId="0DD7259A" w14:textId="77777777" w:rsidTr="00674DC3">
        <w:tc>
          <w:tcPr>
            <w:tcW w:w="1800" w:type="dxa"/>
          </w:tcPr>
          <w:p w14:paraId="75863876" w14:textId="77777777" w:rsidR="0053202D" w:rsidRPr="00A9068F" w:rsidRDefault="0053202D" w:rsidP="00674DC3">
            <w:pPr>
              <w:jc w:val="center"/>
              <w:rPr>
                <w:rFonts w:eastAsia="Times New Roman" w:cs="Arial"/>
                <w:b/>
                <w:bCs/>
                <w:sz w:val="24"/>
                <w:szCs w:val="24"/>
              </w:rPr>
            </w:pPr>
            <w:r w:rsidRPr="00A9068F">
              <w:rPr>
                <w:rFonts w:eastAsia="Times New Roman" w:cs="Arial"/>
                <w:b/>
                <w:bCs/>
                <w:sz w:val="24"/>
                <w:szCs w:val="24"/>
              </w:rPr>
              <w:t>Standard concentration</w:t>
            </w:r>
          </w:p>
          <w:p w14:paraId="39310E1D" w14:textId="77777777" w:rsidR="0053202D" w:rsidRPr="00A9068F" w:rsidRDefault="0053202D" w:rsidP="00674DC3">
            <w:pPr>
              <w:jc w:val="center"/>
              <w:rPr>
                <w:rFonts w:eastAsia="Times New Roman" w:cs="Arial"/>
                <w:b/>
                <w:bCs/>
                <w:sz w:val="24"/>
                <w:szCs w:val="24"/>
              </w:rPr>
            </w:pPr>
            <w:r w:rsidRPr="00A9068F">
              <w:rPr>
                <w:rFonts w:eastAsia="Times New Roman" w:cs="Arial"/>
                <w:b/>
                <w:bCs/>
                <w:sz w:val="24"/>
                <w:szCs w:val="24"/>
              </w:rPr>
              <w:t>(mg P/L)</w:t>
            </w:r>
          </w:p>
        </w:tc>
        <w:tc>
          <w:tcPr>
            <w:tcW w:w="2610" w:type="dxa"/>
          </w:tcPr>
          <w:p w14:paraId="29F74322" w14:textId="77777777" w:rsidR="0053202D" w:rsidRPr="00A9068F" w:rsidRDefault="0053202D" w:rsidP="00674DC3">
            <w:pPr>
              <w:jc w:val="center"/>
              <w:rPr>
                <w:rFonts w:eastAsia="Times New Roman" w:cs="Arial"/>
                <w:b/>
                <w:bCs/>
                <w:sz w:val="24"/>
                <w:szCs w:val="24"/>
              </w:rPr>
            </w:pPr>
            <w:r w:rsidRPr="00A9068F">
              <w:rPr>
                <w:rFonts w:eastAsia="Times New Roman" w:cs="Arial"/>
                <w:b/>
                <w:bCs/>
                <w:sz w:val="24"/>
                <w:szCs w:val="24"/>
              </w:rPr>
              <w:t>Milliliters of phosphate standard to pipette</w:t>
            </w:r>
          </w:p>
        </w:tc>
      </w:tr>
      <w:tr w:rsidR="0053202D" w:rsidRPr="00A9068F" w14:paraId="4D5A213E" w14:textId="77777777" w:rsidTr="00674DC3">
        <w:tc>
          <w:tcPr>
            <w:tcW w:w="1800" w:type="dxa"/>
          </w:tcPr>
          <w:p w14:paraId="11CA4BE8"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0.00</w:t>
            </w:r>
          </w:p>
        </w:tc>
        <w:tc>
          <w:tcPr>
            <w:tcW w:w="2610" w:type="dxa"/>
          </w:tcPr>
          <w:p w14:paraId="18CEB749" w14:textId="77777777" w:rsidR="0053202D" w:rsidRPr="00A9068F" w:rsidRDefault="0053202D" w:rsidP="00674DC3">
            <w:pPr>
              <w:rPr>
                <w:rFonts w:eastAsia="Times New Roman" w:cs="Arial"/>
                <w:bCs/>
                <w:sz w:val="24"/>
                <w:szCs w:val="24"/>
              </w:rPr>
            </w:pPr>
          </w:p>
        </w:tc>
      </w:tr>
      <w:tr w:rsidR="0053202D" w:rsidRPr="00A9068F" w14:paraId="244574AA" w14:textId="77777777" w:rsidTr="00674DC3">
        <w:tc>
          <w:tcPr>
            <w:tcW w:w="1800" w:type="dxa"/>
          </w:tcPr>
          <w:p w14:paraId="15BA2A6F"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0.04</w:t>
            </w:r>
          </w:p>
        </w:tc>
        <w:tc>
          <w:tcPr>
            <w:tcW w:w="2610" w:type="dxa"/>
          </w:tcPr>
          <w:p w14:paraId="21FA8ED0" w14:textId="77777777" w:rsidR="0053202D" w:rsidRPr="00A9068F" w:rsidRDefault="0053202D" w:rsidP="00674DC3">
            <w:pPr>
              <w:rPr>
                <w:rFonts w:eastAsia="Times New Roman" w:cs="Arial"/>
                <w:bCs/>
                <w:sz w:val="24"/>
                <w:szCs w:val="24"/>
              </w:rPr>
            </w:pPr>
          </w:p>
        </w:tc>
      </w:tr>
      <w:tr w:rsidR="0053202D" w:rsidRPr="00A9068F" w14:paraId="2DB8C3C8" w14:textId="77777777" w:rsidTr="00674DC3">
        <w:tc>
          <w:tcPr>
            <w:tcW w:w="1800" w:type="dxa"/>
          </w:tcPr>
          <w:p w14:paraId="179972F4"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0.08</w:t>
            </w:r>
          </w:p>
        </w:tc>
        <w:tc>
          <w:tcPr>
            <w:tcW w:w="2610" w:type="dxa"/>
          </w:tcPr>
          <w:p w14:paraId="74DBC245" w14:textId="77777777" w:rsidR="0053202D" w:rsidRPr="00A9068F" w:rsidRDefault="0053202D" w:rsidP="00674DC3">
            <w:pPr>
              <w:rPr>
                <w:rFonts w:eastAsia="Times New Roman" w:cs="Arial"/>
                <w:bCs/>
                <w:sz w:val="24"/>
                <w:szCs w:val="24"/>
              </w:rPr>
            </w:pPr>
          </w:p>
        </w:tc>
      </w:tr>
      <w:tr w:rsidR="0053202D" w:rsidRPr="00A9068F" w14:paraId="72C43F56" w14:textId="77777777" w:rsidTr="00674DC3">
        <w:tc>
          <w:tcPr>
            <w:tcW w:w="1800" w:type="dxa"/>
          </w:tcPr>
          <w:p w14:paraId="243BAD18"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0.12</w:t>
            </w:r>
          </w:p>
        </w:tc>
        <w:tc>
          <w:tcPr>
            <w:tcW w:w="2610" w:type="dxa"/>
          </w:tcPr>
          <w:p w14:paraId="206C389A" w14:textId="77777777" w:rsidR="0053202D" w:rsidRPr="00A9068F" w:rsidRDefault="0053202D" w:rsidP="00674DC3">
            <w:pPr>
              <w:rPr>
                <w:rFonts w:eastAsia="Times New Roman" w:cs="Arial"/>
                <w:bCs/>
                <w:sz w:val="24"/>
                <w:szCs w:val="24"/>
              </w:rPr>
            </w:pPr>
          </w:p>
        </w:tc>
      </w:tr>
      <w:tr w:rsidR="0053202D" w:rsidRPr="00A9068F" w14:paraId="3F8FAF2A" w14:textId="77777777" w:rsidTr="00674DC3">
        <w:tc>
          <w:tcPr>
            <w:tcW w:w="1800" w:type="dxa"/>
          </w:tcPr>
          <w:p w14:paraId="6DBECCD0"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0.15</w:t>
            </w:r>
          </w:p>
        </w:tc>
        <w:tc>
          <w:tcPr>
            <w:tcW w:w="2610" w:type="dxa"/>
          </w:tcPr>
          <w:p w14:paraId="4BC42A18" w14:textId="77777777" w:rsidR="0053202D" w:rsidRPr="00A9068F" w:rsidRDefault="0053202D" w:rsidP="00674DC3">
            <w:pPr>
              <w:rPr>
                <w:rFonts w:eastAsia="Times New Roman" w:cs="Arial"/>
                <w:bCs/>
                <w:sz w:val="24"/>
                <w:szCs w:val="24"/>
              </w:rPr>
            </w:pPr>
          </w:p>
        </w:tc>
      </w:tr>
      <w:tr w:rsidR="0053202D" w:rsidRPr="00A9068F" w14:paraId="7171EBCB" w14:textId="77777777" w:rsidTr="00674DC3">
        <w:tc>
          <w:tcPr>
            <w:tcW w:w="1800" w:type="dxa"/>
          </w:tcPr>
          <w:p w14:paraId="063FACF0"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0.20</w:t>
            </w:r>
          </w:p>
        </w:tc>
        <w:tc>
          <w:tcPr>
            <w:tcW w:w="2610" w:type="dxa"/>
          </w:tcPr>
          <w:p w14:paraId="53DA1C06" w14:textId="77777777" w:rsidR="0053202D" w:rsidRPr="00A9068F" w:rsidRDefault="0053202D" w:rsidP="00674DC3">
            <w:pPr>
              <w:rPr>
                <w:rFonts w:eastAsia="Times New Roman" w:cs="Arial"/>
                <w:bCs/>
                <w:sz w:val="24"/>
                <w:szCs w:val="24"/>
              </w:rPr>
            </w:pPr>
          </w:p>
        </w:tc>
      </w:tr>
    </w:tbl>
    <w:p w14:paraId="3A6FADE0" w14:textId="77777777" w:rsidR="0053202D" w:rsidRPr="00A9068F" w:rsidRDefault="0053202D" w:rsidP="0053202D">
      <w:pPr>
        <w:rPr>
          <w:rFonts w:eastAsia="Times New Roman" w:cs="Arial"/>
          <w:bCs/>
          <w:sz w:val="24"/>
          <w:szCs w:val="24"/>
        </w:rPr>
      </w:pPr>
    </w:p>
    <w:p w14:paraId="696E5033"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Q13</w:t>
      </w:r>
      <w:r w:rsidRPr="00A9068F">
        <w:rPr>
          <w:rFonts w:eastAsia="Times New Roman" w:cs="Arial"/>
          <w:bCs/>
          <w:sz w:val="24"/>
          <w:szCs w:val="24"/>
        </w:rPr>
        <w:t xml:space="preserve">: What is the purpose of preparing the standard at 0.00 mg/L P? How is it used in the analysis? </w:t>
      </w:r>
    </w:p>
    <w:p w14:paraId="4807AEF6"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Q14</w:t>
      </w:r>
      <w:r w:rsidRPr="00A9068F">
        <w:rPr>
          <w:rFonts w:eastAsia="Times New Roman" w:cs="Arial"/>
          <w:bCs/>
          <w:sz w:val="24"/>
          <w:szCs w:val="24"/>
        </w:rPr>
        <w:t xml:space="preserve">: The second standard is 0.04 mg P/L.  How many parts per million (ppm) of P does this correspond to? </w:t>
      </w:r>
    </w:p>
    <w:p w14:paraId="69CFE590" w14:textId="77777777" w:rsidR="0053202D" w:rsidRPr="00A9068F" w:rsidRDefault="0053202D" w:rsidP="0053202D">
      <w:pPr>
        <w:rPr>
          <w:rFonts w:eastAsia="Times New Roman" w:cs="Arial"/>
          <w:bCs/>
          <w:sz w:val="24"/>
          <w:szCs w:val="24"/>
        </w:rPr>
      </w:pPr>
      <w:r w:rsidRPr="00A9068F">
        <w:rPr>
          <w:rFonts w:eastAsia="Times New Roman" w:cs="Arial"/>
          <w:bCs/>
          <w:sz w:val="24"/>
          <w:szCs w:val="24"/>
        </w:rPr>
        <w:t>The following absorbance values were recorded when analyzing the six standards prepared above:</w:t>
      </w:r>
    </w:p>
    <w:tbl>
      <w:tblPr>
        <w:tblStyle w:val="TableGrid"/>
        <w:tblW w:w="0" w:type="auto"/>
        <w:tblInd w:w="2808" w:type="dxa"/>
        <w:tblLook w:val="04A0" w:firstRow="1" w:lastRow="0" w:firstColumn="1" w:lastColumn="0" w:noHBand="0" w:noVBand="1"/>
      </w:tblPr>
      <w:tblGrid>
        <w:gridCol w:w="1800"/>
        <w:gridCol w:w="2610"/>
      </w:tblGrid>
      <w:tr w:rsidR="0053202D" w:rsidRPr="00A9068F" w14:paraId="408F7A7B" w14:textId="77777777" w:rsidTr="00674DC3">
        <w:tc>
          <w:tcPr>
            <w:tcW w:w="1800" w:type="dxa"/>
          </w:tcPr>
          <w:p w14:paraId="67A6A91D" w14:textId="77777777" w:rsidR="0053202D" w:rsidRPr="00A9068F" w:rsidRDefault="0053202D" w:rsidP="00674DC3">
            <w:pPr>
              <w:jc w:val="center"/>
              <w:rPr>
                <w:rFonts w:eastAsia="Times New Roman" w:cs="Arial"/>
                <w:b/>
                <w:bCs/>
                <w:sz w:val="24"/>
                <w:szCs w:val="24"/>
              </w:rPr>
            </w:pPr>
            <w:r w:rsidRPr="00A9068F">
              <w:rPr>
                <w:rFonts w:eastAsia="Times New Roman" w:cs="Arial"/>
                <w:b/>
                <w:bCs/>
                <w:sz w:val="24"/>
                <w:szCs w:val="24"/>
              </w:rPr>
              <w:t>Standard concentration</w:t>
            </w:r>
          </w:p>
          <w:p w14:paraId="7FB2BBA3" w14:textId="77777777" w:rsidR="0053202D" w:rsidRPr="00A9068F" w:rsidRDefault="0053202D" w:rsidP="00674DC3">
            <w:pPr>
              <w:jc w:val="center"/>
              <w:rPr>
                <w:rFonts w:eastAsia="Times New Roman" w:cs="Arial"/>
                <w:b/>
                <w:bCs/>
                <w:sz w:val="24"/>
                <w:szCs w:val="24"/>
              </w:rPr>
            </w:pPr>
            <w:r w:rsidRPr="00A9068F">
              <w:rPr>
                <w:rFonts w:eastAsia="Times New Roman" w:cs="Arial"/>
                <w:b/>
                <w:bCs/>
                <w:sz w:val="24"/>
                <w:szCs w:val="24"/>
              </w:rPr>
              <w:t>(mg/L  P)</w:t>
            </w:r>
          </w:p>
        </w:tc>
        <w:tc>
          <w:tcPr>
            <w:tcW w:w="2610" w:type="dxa"/>
          </w:tcPr>
          <w:p w14:paraId="06D550F5" w14:textId="77777777" w:rsidR="0053202D" w:rsidRPr="00A9068F" w:rsidRDefault="0053202D" w:rsidP="00674DC3">
            <w:pPr>
              <w:jc w:val="center"/>
              <w:rPr>
                <w:rFonts w:eastAsia="Times New Roman" w:cs="Arial"/>
                <w:b/>
                <w:bCs/>
                <w:sz w:val="24"/>
                <w:szCs w:val="24"/>
              </w:rPr>
            </w:pPr>
            <w:r w:rsidRPr="00A9068F">
              <w:rPr>
                <w:rFonts w:eastAsia="Times New Roman" w:cs="Arial"/>
                <w:b/>
                <w:bCs/>
                <w:sz w:val="24"/>
                <w:szCs w:val="24"/>
              </w:rPr>
              <w:t>Absorbance</w:t>
            </w:r>
          </w:p>
        </w:tc>
      </w:tr>
      <w:tr w:rsidR="0053202D" w:rsidRPr="00A9068F" w14:paraId="680BB800" w14:textId="77777777" w:rsidTr="00674DC3">
        <w:tc>
          <w:tcPr>
            <w:tcW w:w="1800" w:type="dxa"/>
          </w:tcPr>
          <w:p w14:paraId="5B5A925B"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0.00</w:t>
            </w:r>
          </w:p>
        </w:tc>
        <w:tc>
          <w:tcPr>
            <w:tcW w:w="2610" w:type="dxa"/>
          </w:tcPr>
          <w:p w14:paraId="3CAD8673"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0.000</w:t>
            </w:r>
          </w:p>
        </w:tc>
      </w:tr>
      <w:tr w:rsidR="0053202D" w:rsidRPr="00A9068F" w14:paraId="3340EE42" w14:textId="77777777" w:rsidTr="00674DC3">
        <w:tc>
          <w:tcPr>
            <w:tcW w:w="1800" w:type="dxa"/>
          </w:tcPr>
          <w:p w14:paraId="249ECA1E"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0.04</w:t>
            </w:r>
          </w:p>
        </w:tc>
        <w:tc>
          <w:tcPr>
            <w:tcW w:w="2610" w:type="dxa"/>
          </w:tcPr>
          <w:p w14:paraId="7ABCACDF"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0.021</w:t>
            </w:r>
          </w:p>
        </w:tc>
      </w:tr>
      <w:tr w:rsidR="0053202D" w:rsidRPr="00A9068F" w14:paraId="55B594A0" w14:textId="77777777" w:rsidTr="00674DC3">
        <w:tc>
          <w:tcPr>
            <w:tcW w:w="1800" w:type="dxa"/>
          </w:tcPr>
          <w:p w14:paraId="5D012E92"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0.08</w:t>
            </w:r>
          </w:p>
        </w:tc>
        <w:tc>
          <w:tcPr>
            <w:tcW w:w="2610" w:type="dxa"/>
          </w:tcPr>
          <w:p w14:paraId="116473A7"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0.039</w:t>
            </w:r>
          </w:p>
        </w:tc>
      </w:tr>
      <w:tr w:rsidR="0053202D" w:rsidRPr="00A9068F" w14:paraId="569E1E0A" w14:textId="77777777" w:rsidTr="00674DC3">
        <w:tc>
          <w:tcPr>
            <w:tcW w:w="1800" w:type="dxa"/>
          </w:tcPr>
          <w:p w14:paraId="3213987D"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0.12</w:t>
            </w:r>
          </w:p>
        </w:tc>
        <w:tc>
          <w:tcPr>
            <w:tcW w:w="2610" w:type="dxa"/>
          </w:tcPr>
          <w:p w14:paraId="34CDCF7F"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0.052</w:t>
            </w:r>
          </w:p>
        </w:tc>
      </w:tr>
      <w:tr w:rsidR="0053202D" w:rsidRPr="00A9068F" w14:paraId="18C6DD05" w14:textId="77777777" w:rsidTr="00674DC3">
        <w:tc>
          <w:tcPr>
            <w:tcW w:w="1800" w:type="dxa"/>
          </w:tcPr>
          <w:p w14:paraId="0AF35CD9"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0.15</w:t>
            </w:r>
          </w:p>
        </w:tc>
        <w:tc>
          <w:tcPr>
            <w:tcW w:w="2610" w:type="dxa"/>
          </w:tcPr>
          <w:p w14:paraId="353DA3EF"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0.078</w:t>
            </w:r>
          </w:p>
        </w:tc>
      </w:tr>
      <w:tr w:rsidR="0053202D" w:rsidRPr="00A9068F" w14:paraId="5CFF0759" w14:textId="77777777" w:rsidTr="00674DC3">
        <w:tc>
          <w:tcPr>
            <w:tcW w:w="1800" w:type="dxa"/>
          </w:tcPr>
          <w:p w14:paraId="2019D073"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0.20</w:t>
            </w:r>
          </w:p>
        </w:tc>
        <w:tc>
          <w:tcPr>
            <w:tcW w:w="2610" w:type="dxa"/>
          </w:tcPr>
          <w:p w14:paraId="195E9822" w14:textId="77777777" w:rsidR="0053202D" w:rsidRPr="00A9068F" w:rsidRDefault="0053202D" w:rsidP="00674DC3">
            <w:pPr>
              <w:jc w:val="center"/>
              <w:rPr>
                <w:rFonts w:eastAsia="Times New Roman" w:cs="Arial"/>
                <w:bCs/>
                <w:sz w:val="24"/>
                <w:szCs w:val="24"/>
              </w:rPr>
            </w:pPr>
            <w:r w:rsidRPr="00A9068F">
              <w:rPr>
                <w:rFonts w:eastAsia="Times New Roman" w:cs="Arial"/>
                <w:bCs/>
                <w:sz w:val="24"/>
                <w:szCs w:val="24"/>
              </w:rPr>
              <w:t>0.102</w:t>
            </w:r>
          </w:p>
        </w:tc>
      </w:tr>
    </w:tbl>
    <w:p w14:paraId="3EC9C79C" w14:textId="77777777" w:rsidR="0053202D" w:rsidRPr="00A9068F" w:rsidRDefault="0053202D" w:rsidP="0053202D">
      <w:pPr>
        <w:rPr>
          <w:rFonts w:eastAsia="Times New Roman" w:cs="Arial"/>
          <w:bCs/>
          <w:sz w:val="24"/>
          <w:szCs w:val="24"/>
        </w:rPr>
      </w:pPr>
    </w:p>
    <w:p w14:paraId="5DFB8330" w14:textId="77777777" w:rsidR="0053202D" w:rsidRPr="00A9068F" w:rsidRDefault="0053202D" w:rsidP="0053202D">
      <w:pPr>
        <w:rPr>
          <w:rFonts w:eastAsia="Times New Roman" w:cs="Arial"/>
          <w:bCs/>
          <w:sz w:val="24"/>
          <w:szCs w:val="24"/>
        </w:rPr>
      </w:pPr>
      <w:r w:rsidRPr="00A9068F">
        <w:rPr>
          <w:rFonts w:eastAsia="Times New Roman" w:cs="Arial"/>
          <w:bCs/>
          <w:sz w:val="24"/>
          <w:szCs w:val="24"/>
        </w:rPr>
        <w:lastRenderedPageBreak/>
        <w:t>Use Excel or equivalent software to plot the standard calibration curve.</w:t>
      </w:r>
    </w:p>
    <w:p w14:paraId="14E4A846"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Q15</w:t>
      </w:r>
      <w:r w:rsidRPr="00A9068F">
        <w:rPr>
          <w:rFonts w:eastAsia="Times New Roman" w:cs="Arial"/>
          <w:bCs/>
          <w:sz w:val="24"/>
          <w:szCs w:val="24"/>
        </w:rPr>
        <w:t>: What relationship do you observe between absorbance and concentration?</w:t>
      </w:r>
    </w:p>
    <w:p w14:paraId="2318451F"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Q16</w:t>
      </w:r>
      <w:r w:rsidRPr="00A9068F">
        <w:rPr>
          <w:rFonts w:eastAsia="Times New Roman" w:cs="Arial"/>
          <w:bCs/>
          <w:sz w:val="24"/>
          <w:szCs w:val="24"/>
        </w:rPr>
        <w:t>: What parameter allows us to determine whether there is a good fit between absorbance and phosphate concentration?</w:t>
      </w:r>
    </w:p>
    <w:p w14:paraId="752078DF" w14:textId="77777777" w:rsidR="0053202D" w:rsidRPr="00A9068F" w:rsidRDefault="0053202D" w:rsidP="0053202D">
      <w:pPr>
        <w:rPr>
          <w:rFonts w:eastAsia="Times New Roman" w:cs="Arial"/>
          <w:bCs/>
          <w:sz w:val="24"/>
          <w:szCs w:val="24"/>
        </w:rPr>
      </w:pPr>
      <w:r w:rsidRPr="00A9068F">
        <w:rPr>
          <w:rFonts w:eastAsia="Times New Roman" w:cs="Arial"/>
          <w:bCs/>
          <w:sz w:val="24"/>
          <w:szCs w:val="24"/>
        </w:rPr>
        <w:t>Once the calibration is completed, the next step is to analyze unknown water samples for phosphate concentration.  Suppose that three replicate water samples from one of the ponds at End Creek are analyzed and their absorbance is 0.025, 0.027 and 0.023, respectively.</w:t>
      </w:r>
    </w:p>
    <w:p w14:paraId="79C9EF34"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Q17</w:t>
      </w:r>
      <w:r w:rsidRPr="00A9068F">
        <w:rPr>
          <w:rFonts w:eastAsia="Times New Roman" w:cs="Arial"/>
          <w:bCs/>
          <w:sz w:val="24"/>
          <w:szCs w:val="24"/>
        </w:rPr>
        <w:t xml:space="preserve">: What is the average concentration of phosphate (expressed in mg P/L) in the pond water? </w:t>
      </w:r>
    </w:p>
    <w:p w14:paraId="52EAA92E"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Q18</w:t>
      </w:r>
      <w:r w:rsidRPr="00A9068F">
        <w:rPr>
          <w:rFonts w:eastAsia="Times New Roman" w:cs="Arial"/>
          <w:bCs/>
          <w:sz w:val="24"/>
          <w:szCs w:val="24"/>
        </w:rPr>
        <w:t xml:space="preserve">: What parameter allows you to assess </w:t>
      </w:r>
      <w:r w:rsidR="00594B96">
        <w:rPr>
          <w:rFonts w:eastAsia="Times New Roman" w:cs="Arial"/>
          <w:bCs/>
          <w:sz w:val="24"/>
          <w:szCs w:val="24"/>
        </w:rPr>
        <w:t xml:space="preserve">the reproducibility of the measurement? </w:t>
      </w:r>
    </w:p>
    <w:p w14:paraId="0F693D54" w14:textId="77777777" w:rsidR="0053202D" w:rsidRPr="00A9068F" w:rsidRDefault="0053202D" w:rsidP="0053202D">
      <w:pPr>
        <w:rPr>
          <w:rFonts w:eastAsia="Times New Roman" w:cs="Arial"/>
          <w:bCs/>
          <w:sz w:val="24"/>
          <w:szCs w:val="24"/>
        </w:rPr>
      </w:pPr>
    </w:p>
    <w:p w14:paraId="53627D68" w14:textId="77777777" w:rsidR="0053202D" w:rsidRPr="00A9068F" w:rsidRDefault="0053202D" w:rsidP="0053202D">
      <w:pPr>
        <w:rPr>
          <w:rFonts w:eastAsia="Times New Roman" w:cs="Arial"/>
          <w:b/>
          <w:bCs/>
          <w:sz w:val="24"/>
          <w:szCs w:val="24"/>
        </w:rPr>
      </w:pPr>
      <w:r w:rsidRPr="00A9068F">
        <w:rPr>
          <w:rFonts w:eastAsia="Times New Roman" w:cs="Arial"/>
          <w:b/>
          <w:bCs/>
          <w:sz w:val="24"/>
          <w:szCs w:val="24"/>
        </w:rPr>
        <w:t>Evaluating the detection limit of the method</w:t>
      </w:r>
    </w:p>
    <w:p w14:paraId="0471D9F9" w14:textId="77777777" w:rsidR="0053202D" w:rsidRPr="00A9068F" w:rsidRDefault="0053202D" w:rsidP="0053202D">
      <w:pPr>
        <w:rPr>
          <w:rFonts w:cs="Arial"/>
          <w:color w:val="000000"/>
          <w:sz w:val="24"/>
          <w:szCs w:val="24"/>
        </w:rPr>
      </w:pPr>
      <w:r w:rsidRPr="00A9068F">
        <w:rPr>
          <w:rFonts w:cs="Arial"/>
          <w:color w:val="000000"/>
          <w:sz w:val="24"/>
          <w:szCs w:val="24"/>
        </w:rPr>
        <w:t xml:space="preserve">The detection limit </w:t>
      </w:r>
      <w:r w:rsidR="00A32CE4" w:rsidRPr="00A9068F">
        <w:rPr>
          <w:rFonts w:cs="Arial"/>
          <w:color w:val="000000"/>
          <w:sz w:val="24"/>
          <w:szCs w:val="24"/>
        </w:rPr>
        <w:t>i</w:t>
      </w:r>
      <w:r w:rsidRPr="00A9068F">
        <w:rPr>
          <w:rFonts w:cs="Arial"/>
          <w:color w:val="000000"/>
          <w:sz w:val="24"/>
          <w:szCs w:val="24"/>
        </w:rPr>
        <w:t xml:space="preserve">s the smallest concentration or absolute amount of analyte </w:t>
      </w:r>
      <w:r w:rsidR="0032225D" w:rsidRPr="00A9068F">
        <w:rPr>
          <w:rFonts w:cs="Arial"/>
          <w:color w:val="000000"/>
          <w:sz w:val="24"/>
          <w:szCs w:val="24"/>
        </w:rPr>
        <w:t>which, with a stated probability, can be distinguished</w:t>
      </w:r>
      <w:r w:rsidRPr="00A9068F">
        <w:rPr>
          <w:rFonts w:cs="Arial"/>
          <w:color w:val="000000"/>
          <w:sz w:val="24"/>
          <w:szCs w:val="24"/>
        </w:rPr>
        <w:t xml:space="preserve"> from a suitable blank</w:t>
      </w:r>
      <w:r w:rsidR="0032225D" w:rsidRPr="00A9068F">
        <w:rPr>
          <w:rFonts w:cs="Arial"/>
          <w:color w:val="000000"/>
          <w:sz w:val="24"/>
          <w:szCs w:val="24"/>
        </w:rPr>
        <w:t xml:space="preserve"> value</w:t>
      </w:r>
      <w:r w:rsidRPr="00A9068F">
        <w:rPr>
          <w:rFonts w:cs="Arial"/>
          <w:color w:val="000000"/>
          <w:sz w:val="24"/>
          <w:szCs w:val="24"/>
        </w:rPr>
        <w:t xml:space="preserve"> (5).  If we define </w:t>
      </w:r>
      <w:proofErr w:type="spellStart"/>
      <w:r w:rsidRPr="00A9068F">
        <w:rPr>
          <w:rFonts w:cs="Arial"/>
          <w:i/>
          <w:iCs/>
          <w:color w:val="000000"/>
          <w:sz w:val="24"/>
          <w:szCs w:val="24"/>
        </w:rPr>
        <w:t>S</w:t>
      </w:r>
      <w:r w:rsidRPr="00A9068F">
        <w:rPr>
          <w:rStyle w:val="A8"/>
          <w:rFonts w:cs="Arial"/>
          <w:sz w:val="24"/>
          <w:szCs w:val="24"/>
          <w:vertAlign w:val="subscript"/>
        </w:rPr>
        <w:t>mb</w:t>
      </w:r>
      <w:proofErr w:type="spellEnd"/>
      <w:r w:rsidRPr="00A9068F">
        <w:rPr>
          <w:rStyle w:val="A8"/>
          <w:rFonts w:cs="Arial"/>
          <w:sz w:val="24"/>
          <w:szCs w:val="24"/>
        </w:rPr>
        <w:t xml:space="preserve"> </w:t>
      </w:r>
      <w:r w:rsidRPr="00A9068F">
        <w:rPr>
          <w:rFonts w:cs="Arial"/>
          <w:color w:val="000000"/>
          <w:sz w:val="24"/>
          <w:szCs w:val="24"/>
        </w:rPr>
        <w:t xml:space="preserve">as the average signal for a method blank, and </w:t>
      </w:r>
      <w:r w:rsidR="00594B96" w:rsidRPr="00594B96">
        <w:rPr>
          <w:rFonts w:ascii="Symbol" w:hAnsi="Symbol" w:cs="Arial"/>
          <w:color w:val="000000"/>
          <w:sz w:val="24"/>
          <w:szCs w:val="24"/>
        </w:rPr>
        <w:t></w:t>
      </w:r>
      <w:proofErr w:type="spellStart"/>
      <w:r w:rsidRPr="00A9068F">
        <w:rPr>
          <w:rStyle w:val="A8"/>
          <w:rFonts w:cs="Arial"/>
          <w:sz w:val="24"/>
          <w:szCs w:val="24"/>
          <w:vertAlign w:val="subscript"/>
        </w:rPr>
        <w:t>mb</w:t>
      </w:r>
      <w:proofErr w:type="spellEnd"/>
      <w:r w:rsidRPr="00A9068F">
        <w:rPr>
          <w:rStyle w:val="A8"/>
          <w:rFonts w:cs="Arial"/>
          <w:sz w:val="24"/>
          <w:szCs w:val="24"/>
        </w:rPr>
        <w:t xml:space="preserve"> </w:t>
      </w:r>
      <w:r w:rsidRPr="00A9068F">
        <w:rPr>
          <w:rFonts w:cs="Arial"/>
          <w:color w:val="000000"/>
          <w:sz w:val="24"/>
          <w:szCs w:val="24"/>
        </w:rPr>
        <w:t>as the method blank’s standard deviation, the detection limit (</w:t>
      </w:r>
      <w:proofErr w:type="gramStart"/>
      <w:r w:rsidRPr="00A9068F">
        <w:rPr>
          <w:rFonts w:cs="Arial"/>
          <w:color w:val="000000"/>
          <w:sz w:val="24"/>
          <w:szCs w:val="24"/>
        </w:rPr>
        <w:t>S)</w:t>
      </w:r>
      <w:r w:rsidRPr="00A9068F">
        <w:rPr>
          <w:rFonts w:cs="Arial"/>
          <w:color w:val="000000"/>
          <w:sz w:val="24"/>
          <w:szCs w:val="24"/>
          <w:vertAlign w:val="subscript"/>
        </w:rPr>
        <w:t>DL</w:t>
      </w:r>
      <w:proofErr w:type="gramEnd"/>
      <w:r w:rsidRPr="00A9068F">
        <w:rPr>
          <w:rFonts w:cs="Arial"/>
          <w:color w:val="000000"/>
          <w:sz w:val="24"/>
          <w:szCs w:val="24"/>
        </w:rPr>
        <w:t xml:space="preserve"> is calculated as follow:</w:t>
      </w:r>
    </w:p>
    <w:p w14:paraId="1EC3DB1C" w14:textId="77777777" w:rsidR="0053202D" w:rsidRPr="00A9068F" w:rsidRDefault="0053202D" w:rsidP="0053202D">
      <w:pPr>
        <w:jc w:val="center"/>
        <w:rPr>
          <w:rFonts w:cs="Arial"/>
          <w:color w:val="000000"/>
          <w:sz w:val="24"/>
          <w:szCs w:val="24"/>
        </w:rPr>
      </w:pPr>
      <w:r w:rsidRPr="00A9068F">
        <w:rPr>
          <w:rFonts w:cs="Arial"/>
          <w:color w:val="000000"/>
          <w:sz w:val="24"/>
          <w:szCs w:val="24"/>
        </w:rPr>
        <w:t>(S)</w:t>
      </w:r>
      <w:r w:rsidRPr="00A9068F">
        <w:rPr>
          <w:rFonts w:cs="Arial"/>
          <w:color w:val="000000"/>
          <w:sz w:val="24"/>
          <w:szCs w:val="24"/>
          <w:vertAlign w:val="subscript"/>
        </w:rPr>
        <w:t>DL</w:t>
      </w:r>
      <w:r w:rsidRPr="00A9068F">
        <w:rPr>
          <w:rFonts w:cs="Arial"/>
          <w:color w:val="000000"/>
          <w:sz w:val="24"/>
          <w:szCs w:val="24"/>
        </w:rPr>
        <w:t xml:space="preserve"> = </w:t>
      </w:r>
      <w:proofErr w:type="spellStart"/>
      <w:r w:rsidRPr="00A9068F">
        <w:rPr>
          <w:rFonts w:cs="Arial"/>
          <w:color w:val="000000"/>
          <w:sz w:val="24"/>
          <w:szCs w:val="24"/>
        </w:rPr>
        <w:t>S</w:t>
      </w:r>
      <w:r w:rsidRPr="00A9068F">
        <w:rPr>
          <w:rFonts w:cs="Arial"/>
          <w:color w:val="000000"/>
          <w:sz w:val="24"/>
          <w:szCs w:val="24"/>
          <w:vertAlign w:val="subscript"/>
        </w:rPr>
        <w:t>mb</w:t>
      </w:r>
      <w:proofErr w:type="spellEnd"/>
      <w:r w:rsidRPr="00A9068F">
        <w:rPr>
          <w:rFonts w:cs="Arial"/>
          <w:color w:val="000000"/>
          <w:sz w:val="24"/>
          <w:szCs w:val="24"/>
        </w:rPr>
        <w:t xml:space="preserve"> + 3</w:t>
      </w:r>
      <w:r w:rsidR="00594B96" w:rsidRPr="00594B96">
        <w:rPr>
          <w:rFonts w:ascii="Symbol" w:hAnsi="Symbol" w:cs="Arial"/>
          <w:color w:val="000000"/>
          <w:sz w:val="24"/>
          <w:szCs w:val="24"/>
        </w:rPr>
        <w:t></w:t>
      </w:r>
      <w:r w:rsidRPr="00A9068F">
        <w:rPr>
          <w:rFonts w:cs="Arial"/>
          <w:color w:val="000000"/>
          <w:sz w:val="24"/>
          <w:szCs w:val="24"/>
          <w:vertAlign w:val="subscript"/>
        </w:rPr>
        <w:t>mb</w:t>
      </w:r>
    </w:p>
    <w:p w14:paraId="5AB976BF"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Q19</w:t>
      </w:r>
      <w:r w:rsidRPr="00A9068F">
        <w:rPr>
          <w:rFonts w:eastAsia="Times New Roman" w:cs="Arial"/>
          <w:bCs/>
          <w:sz w:val="24"/>
          <w:szCs w:val="24"/>
        </w:rPr>
        <w:t xml:space="preserve">: How would </w:t>
      </w:r>
      <w:r w:rsidR="003D5503" w:rsidRPr="00A9068F">
        <w:rPr>
          <w:rFonts w:eastAsia="Times New Roman" w:cs="Arial"/>
          <w:bCs/>
          <w:sz w:val="24"/>
          <w:szCs w:val="24"/>
        </w:rPr>
        <w:t>you</w:t>
      </w:r>
      <w:r w:rsidRPr="00A9068F">
        <w:rPr>
          <w:rFonts w:eastAsia="Times New Roman" w:cs="Arial"/>
          <w:bCs/>
          <w:sz w:val="24"/>
          <w:szCs w:val="24"/>
        </w:rPr>
        <w:t xml:space="preserve"> determine the average signal and the associated standard deviation of the method blank using the UV-VIS spectrophotometer?</w:t>
      </w:r>
    </w:p>
    <w:p w14:paraId="180D525C"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Q20</w:t>
      </w:r>
      <w:r w:rsidRPr="00A9068F">
        <w:rPr>
          <w:rFonts w:eastAsia="Times New Roman" w:cs="Arial"/>
          <w:bCs/>
          <w:sz w:val="24"/>
          <w:szCs w:val="24"/>
        </w:rPr>
        <w:t>: If you determined that the average signal from the method’s blank is 0.0081 and the standard deviation is 0.0006, what is the detection limit of the method?</w:t>
      </w:r>
    </w:p>
    <w:p w14:paraId="521D4626"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Q21</w:t>
      </w:r>
      <w:r w:rsidRPr="00A9068F">
        <w:rPr>
          <w:rFonts w:eastAsia="Times New Roman" w:cs="Arial"/>
          <w:bCs/>
          <w:sz w:val="24"/>
          <w:szCs w:val="24"/>
        </w:rPr>
        <w:t>: Would you be able to detect phosphate in the pond water mentioned above if the absorbance of an unknown sample was 0.003?</w:t>
      </w:r>
    </w:p>
    <w:p w14:paraId="4818F885" w14:textId="77777777" w:rsidR="0053202D" w:rsidRPr="00A9068F" w:rsidRDefault="0053202D" w:rsidP="0053202D">
      <w:pPr>
        <w:rPr>
          <w:rFonts w:eastAsia="Times New Roman" w:cs="Arial"/>
          <w:b/>
          <w:bCs/>
          <w:sz w:val="24"/>
          <w:szCs w:val="24"/>
        </w:rPr>
      </w:pPr>
    </w:p>
    <w:p w14:paraId="0102E28F" w14:textId="77777777" w:rsidR="0053202D" w:rsidRPr="00A9068F" w:rsidRDefault="0053202D" w:rsidP="0053202D">
      <w:pPr>
        <w:rPr>
          <w:rFonts w:eastAsia="Times New Roman" w:cs="Arial"/>
          <w:b/>
          <w:bCs/>
          <w:sz w:val="24"/>
          <w:szCs w:val="24"/>
        </w:rPr>
      </w:pPr>
      <w:r w:rsidRPr="00A9068F">
        <w:rPr>
          <w:rFonts w:eastAsia="Times New Roman" w:cs="Arial"/>
          <w:b/>
          <w:bCs/>
          <w:sz w:val="24"/>
          <w:szCs w:val="24"/>
        </w:rPr>
        <w:t>Automated methods</w:t>
      </w:r>
    </w:p>
    <w:p w14:paraId="66BA2C10" w14:textId="77777777" w:rsidR="0053202D" w:rsidRPr="00A9068F" w:rsidRDefault="0053202D" w:rsidP="0053202D">
      <w:pPr>
        <w:rPr>
          <w:rFonts w:eastAsia="Times New Roman" w:cs="Arial"/>
          <w:bCs/>
          <w:sz w:val="24"/>
          <w:szCs w:val="24"/>
        </w:rPr>
      </w:pPr>
      <w:r w:rsidRPr="00A9068F">
        <w:rPr>
          <w:rFonts w:eastAsia="Times New Roman" w:cs="Arial"/>
          <w:bCs/>
          <w:sz w:val="24"/>
          <w:szCs w:val="24"/>
        </w:rPr>
        <w:t>Most water labs currently use automated methods of analysis for phosphate, nitrates and other routine analytes.  A typical approach is based on flow-injection analysis.</w:t>
      </w:r>
    </w:p>
    <w:p w14:paraId="0F3950C9" w14:textId="77777777" w:rsidR="0053202D" w:rsidRPr="00A9068F" w:rsidRDefault="0053202D" w:rsidP="0053202D">
      <w:pPr>
        <w:rPr>
          <w:rFonts w:eastAsia="Times New Roman" w:cs="Arial"/>
          <w:bCs/>
          <w:sz w:val="24"/>
          <w:szCs w:val="24"/>
        </w:rPr>
      </w:pPr>
      <w:r w:rsidRPr="00A9068F">
        <w:rPr>
          <w:rFonts w:eastAsia="Times New Roman" w:cs="Arial"/>
          <w:b/>
          <w:bCs/>
          <w:sz w:val="24"/>
          <w:szCs w:val="24"/>
        </w:rPr>
        <w:t>Q22</w:t>
      </w:r>
      <w:r w:rsidRPr="00A9068F">
        <w:rPr>
          <w:rFonts w:eastAsia="Times New Roman" w:cs="Arial"/>
          <w:bCs/>
          <w:sz w:val="24"/>
          <w:szCs w:val="24"/>
        </w:rPr>
        <w:t>: What are the likely advantages of automating a method?</w:t>
      </w:r>
    </w:p>
    <w:p w14:paraId="24DCEE56" w14:textId="77777777" w:rsidR="0053202D" w:rsidRPr="00A9068F" w:rsidRDefault="0053202D" w:rsidP="0053202D">
      <w:pPr>
        <w:rPr>
          <w:rFonts w:eastAsia="Times New Roman" w:cs="Arial"/>
          <w:b/>
          <w:bCs/>
          <w:sz w:val="24"/>
          <w:szCs w:val="24"/>
        </w:rPr>
      </w:pPr>
    </w:p>
    <w:p w14:paraId="4AB01F60" w14:textId="77777777" w:rsidR="0053202D" w:rsidRPr="00A9068F" w:rsidRDefault="0053202D" w:rsidP="0053202D">
      <w:pPr>
        <w:rPr>
          <w:rFonts w:eastAsia="Times New Roman" w:cs="Arial"/>
          <w:b/>
          <w:bCs/>
          <w:sz w:val="24"/>
          <w:szCs w:val="24"/>
        </w:rPr>
      </w:pPr>
      <w:r w:rsidRPr="00A9068F">
        <w:rPr>
          <w:rFonts w:eastAsia="Times New Roman" w:cs="Arial"/>
          <w:b/>
          <w:bCs/>
          <w:sz w:val="24"/>
          <w:szCs w:val="24"/>
        </w:rPr>
        <w:lastRenderedPageBreak/>
        <w:t>References</w:t>
      </w:r>
    </w:p>
    <w:p w14:paraId="61B08050" w14:textId="77777777" w:rsidR="0053202D" w:rsidRPr="00A9068F" w:rsidRDefault="0053202D" w:rsidP="0053202D">
      <w:pPr>
        <w:pStyle w:val="ListParagraph"/>
        <w:numPr>
          <w:ilvl w:val="0"/>
          <w:numId w:val="3"/>
        </w:numPr>
        <w:rPr>
          <w:rFonts w:cs="Arial"/>
          <w:sz w:val="24"/>
          <w:szCs w:val="24"/>
        </w:rPr>
      </w:pPr>
      <w:r w:rsidRPr="00A9068F">
        <w:rPr>
          <w:rFonts w:cs="Arial"/>
          <w:sz w:val="24"/>
          <w:szCs w:val="24"/>
        </w:rPr>
        <w:t xml:space="preserve">APHA. 1992. </w:t>
      </w:r>
      <w:r w:rsidRPr="00A9068F">
        <w:rPr>
          <w:rStyle w:val="Emphasis"/>
          <w:rFonts w:cs="Arial"/>
          <w:sz w:val="24"/>
          <w:szCs w:val="24"/>
        </w:rPr>
        <w:t>Standard methods for the examination of water and wastewater.</w:t>
      </w:r>
      <w:r w:rsidRPr="00A9068F">
        <w:rPr>
          <w:rFonts w:cs="Arial"/>
          <w:sz w:val="24"/>
          <w:szCs w:val="24"/>
        </w:rPr>
        <w:t xml:space="preserve"> 18</w:t>
      </w:r>
      <w:r w:rsidRPr="00A9068F">
        <w:rPr>
          <w:rFonts w:cs="Arial"/>
          <w:sz w:val="24"/>
          <w:szCs w:val="24"/>
          <w:vertAlign w:val="superscript"/>
        </w:rPr>
        <w:t>th</w:t>
      </w:r>
      <w:r w:rsidRPr="00A9068F">
        <w:rPr>
          <w:rFonts w:cs="Arial"/>
          <w:sz w:val="24"/>
          <w:szCs w:val="24"/>
        </w:rPr>
        <w:t xml:space="preserve"> ed. American Public Health Association, Washington, DC.</w:t>
      </w:r>
    </w:p>
    <w:p w14:paraId="4B37601E" w14:textId="77777777" w:rsidR="0053202D" w:rsidRPr="00A9068F" w:rsidRDefault="0053202D" w:rsidP="0053202D">
      <w:pPr>
        <w:pStyle w:val="ListParagraph"/>
        <w:rPr>
          <w:rFonts w:cs="Arial"/>
          <w:sz w:val="24"/>
          <w:szCs w:val="24"/>
        </w:rPr>
      </w:pPr>
    </w:p>
    <w:p w14:paraId="266F3DAF" w14:textId="77777777" w:rsidR="0053202D" w:rsidRPr="00A9068F" w:rsidRDefault="0053202D" w:rsidP="0053202D">
      <w:pPr>
        <w:pStyle w:val="ListParagraph"/>
        <w:numPr>
          <w:ilvl w:val="0"/>
          <w:numId w:val="3"/>
        </w:numPr>
        <w:spacing w:after="0" w:line="240" w:lineRule="auto"/>
        <w:outlineLvl w:val="0"/>
        <w:rPr>
          <w:rFonts w:eastAsia="Times New Roman" w:cs="Arial"/>
          <w:bCs/>
          <w:kern w:val="36"/>
          <w:sz w:val="24"/>
          <w:szCs w:val="24"/>
        </w:rPr>
      </w:pPr>
      <w:r w:rsidRPr="00A9068F">
        <w:rPr>
          <w:rFonts w:eastAsia="Times New Roman" w:cs="Arial"/>
          <w:bCs/>
          <w:kern w:val="36"/>
          <w:sz w:val="24"/>
          <w:szCs w:val="24"/>
        </w:rPr>
        <w:t xml:space="preserve">EPA method 365.1 </w:t>
      </w:r>
      <w:proofErr w:type="gramStart"/>
      <w:r w:rsidRPr="00A9068F">
        <w:rPr>
          <w:rFonts w:eastAsia="Times New Roman" w:cs="Arial"/>
          <w:bCs/>
          <w:kern w:val="36"/>
          <w:sz w:val="24"/>
          <w:szCs w:val="24"/>
        </w:rPr>
        <w:t xml:space="preserve">– Determination of phosphorous by semi-automated </w:t>
      </w:r>
      <w:proofErr w:type="spellStart"/>
      <w:r w:rsidRPr="00A9068F">
        <w:rPr>
          <w:rFonts w:eastAsia="Times New Roman" w:cs="Arial"/>
          <w:bCs/>
          <w:kern w:val="36"/>
          <w:sz w:val="24"/>
          <w:szCs w:val="24"/>
        </w:rPr>
        <w:t>colorimetry</w:t>
      </w:r>
      <w:proofErr w:type="spellEnd"/>
      <w:r w:rsidRPr="00A9068F">
        <w:rPr>
          <w:rFonts w:eastAsia="Times New Roman" w:cs="Arial"/>
          <w:bCs/>
          <w:kern w:val="36"/>
          <w:sz w:val="24"/>
          <w:szCs w:val="24"/>
        </w:rPr>
        <w:t xml:space="preserve"> –revision</w:t>
      </w:r>
      <w:proofErr w:type="gramEnd"/>
      <w:r w:rsidRPr="00A9068F">
        <w:rPr>
          <w:rFonts w:eastAsia="Times New Roman" w:cs="Arial"/>
          <w:bCs/>
          <w:kern w:val="36"/>
          <w:sz w:val="24"/>
          <w:szCs w:val="24"/>
        </w:rPr>
        <w:t xml:space="preserve"> 2.0, August 1993.</w:t>
      </w:r>
    </w:p>
    <w:p w14:paraId="149E33CD" w14:textId="77777777" w:rsidR="0053202D" w:rsidRPr="00A9068F" w:rsidRDefault="0053202D" w:rsidP="0053202D">
      <w:pPr>
        <w:pStyle w:val="ListParagraph"/>
        <w:rPr>
          <w:rFonts w:eastAsia="Times New Roman" w:cs="Arial"/>
          <w:bCs/>
          <w:kern w:val="36"/>
          <w:sz w:val="24"/>
          <w:szCs w:val="24"/>
        </w:rPr>
      </w:pPr>
    </w:p>
    <w:p w14:paraId="1435EF0E" w14:textId="77777777" w:rsidR="0053202D" w:rsidRPr="00A9068F" w:rsidRDefault="0053202D" w:rsidP="0053202D">
      <w:pPr>
        <w:pStyle w:val="ListParagraph"/>
        <w:numPr>
          <w:ilvl w:val="0"/>
          <w:numId w:val="3"/>
        </w:numPr>
        <w:spacing w:after="0" w:line="240" w:lineRule="auto"/>
        <w:outlineLvl w:val="0"/>
        <w:rPr>
          <w:rFonts w:eastAsia="Times New Roman" w:cs="Arial"/>
          <w:bCs/>
          <w:kern w:val="36"/>
          <w:sz w:val="24"/>
          <w:szCs w:val="24"/>
        </w:rPr>
      </w:pPr>
      <w:r w:rsidRPr="00A9068F">
        <w:rPr>
          <w:rFonts w:eastAsia="Times New Roman" w:cs="Arial"/>
          <w:bCs/>
          <w:kern w:val="36"/>
          <w:sz w:val="24"/>
          <w:szCs w:val="24"/>
        </w:rPr>
        <w:t>Volunteer Stream Monitoring: A Methods Manual</w:t>
      </w:r>
    </w:p>
    <w:p w14:paraId="7420ACAC" w14:textId="77777777" w:rsidR="0053202D" w:rsidRPr="00A9068F" w:rsidRDefault="00A27EC7" w:rsidP="0053202D">
      <w:pPr>
        <w:ind w:firstLine="720"/>
        <w:rPr>
          <w:rFonts w:eastAsia="Times New Roman" w:cs="Arial"/>
          <w:bCs/>
          <w:sz w:val="24"/>
          <w:szCs w:val="24"/>
        </w:rPr>
      </w:pPr>
      <w:hyperlink r:id="rId11" w:history="1">
        <w:r w:rsidR="0053202D" w:rsidRPr="00A9068F">
          <w:rPr>
            <w:rStyle w:val="Hyperlink"/>
            <w:rFonts w:eastAsia="Times New Roman" w:cs="Arial"/>
            <w:sz w:val="24"/>
            <w:szCs w:val="24"/>
          </w:rPr>
          <w:t>http://water.epa.gov/type/rsl/monitoring/stream_index.cfm</w:t>
        </w:r>
      </w:hyperlink>
      <w:r w:rsidR="0053202D" w:rsidRPr="00A9068F">
        <w:rPr>
          <w:rStyle w:val="Hyperlink"/>
          <w:rFonts w:eastAsia="Times New Roman" w:cs="Arial"/>
          <w:sz w:val="24"/>
          <w:szCs w:val="24"/>
        </w:rPr>
        <w:t xml:space="preserve">  </w:t>
      </w:r>
      <w:r w:rsidR="0053202D" w:rsidRPr="00A9068F">
        <w:rPr>
          <w:rStyle w:val="Hyperlink"/>
          <w:rFonts w:eastAsia="Times New Roman" w:cs="Arial"/>
          <w:color w:val="auto"/>
          <w:sz w:val="24"/>
          <w:szCs w:val="24"/>
        </w:rPr>
        <w:t>(access on 0</w:t>
      </w:r>
      <w:r w:rsidR="009F24B0" w:rsidRPr="00A9068F">
        <w:rPr>
          <w:rStyle w:val="Hyperlink"/>
          <w:rFonts w:eastAsia="Times New Roman" w:cs="Arial"/>
          <w:color w:val="auto"/>
          <w:sz w:val="24"/>
          <w:szCs w:val="24"/>
        </w:rPr>
        <w:t>2</w:t>
      </w:r>
      <w:r w:rsidR="0053202D" w:rsidRPr="00A9068F">
        <w:rPr>
          <w:rStyle w:val="Hyperlink"/>
          <w:rFonts w:eastAsia="Times New Roman" w:cs="Arial"/>
          <w:color w:val="auto"/>
          <w:sz w:val="24"/>
          <w:szCs w:val="24"/>
        </w:rPr>
        <w:t>-2</w:t>
      </w:r>
      <w:r w:rsidR="009F24B0" w:rsidRPr="00A9068F">
        <w:rPr>
          <w:rStyle w:val="Hyperlink"/>
          <w:rFonts w:eastAsia="Times New Roman" w:cs="Arial"/>
          <w:color w:val="auto"/>
          <w:sz w:val="24"/>
          <w:szCs w:val="24"/>
        </w:rPr>
        <w:t>3</w:t>
      </w:r>
      <w:r w:rsidR="0053202D" w:rsidRPr="00A9068F">
        <w:rPr>
          <w:rStyle w:val="Hyperlink"/>
          <w:rFonts w:eastAsia="Times New Roman" w:cs="Arial"/>
          <w:color w:val="auto"/>
          <w:sz w:val="24"/>
          <w:szCs w:val="24"/>
        </w:rPr>
        <w:t>-201</w:t>
      </w:r>
      <w:r w:rsidR="009F24B0" w:rsidRPr="00A9068F">
        <w:rPr>
          <w:rStyle w:val="Hyperlink"/>
          <w:rFonts w:eastAsia="Times New Roman" w:cs="Arial"/>
          <w:color w:val="auto"/>
          <w:sz w:val="24"/>
          <w:szCs w:val="24"/>
        </w:rPr>
        <w:t>4</w:t>
      </w:r>
      <w:r w:rsidR="0053202D" w:rsidRPr="00A9068F">
        <w:rPr>
          <w:rStyle w:val="Hyperlink"/>
          <w:rFonts w:eastAsia="Times New Roman" w:cs="Arial"/>
          <w:color w:val="auto"/>
          <w:sz w:val="24"/>
          <w:szCs w:val="24"/>
        </w:rPr>
        <w:t>)</w:t>
      </w:r>
    </w:p>
    <w:p w14:paraId="248D325B" w14:textId="77777777" w:rsidR="0053202D" w:rsidRPr="00A9068F" w:rsidRDefault="0053202D" w:rsidP="0053202D">
      <w:pPr>
        <w:pStyle w:val="ListParagraph"/>
        <w:numPr>
          <w:ilvl w:val="0"/>
          <w:numId w:val="3"/>
        </w:numPr>
        <w:rPr>
          <w:rFonts w:cs="Arial"/>
          <w:sz w:val="24"/>
          <w:szCs w:val="24"/>
        </w:rPr>
      </w:pPr>
      <w:proofErr w:type="spellStart"/>
      <w:r w:rsidRPr="00A9068F">
        <w:rPr>
          <w:rFonts w:cs="Arial"/>
          <w:sz w:val="24"/>
          <w:szCs w:val="24"/>
        </w:rPr>
        <w:t>Vessman</w:t>
      </w:r>
      <w:proofErr w:type="spellEnd"/>
      <w:r w:rsidRPr="00A9068F">
        <w:rPr>
          <w:rFonts w:cs="Arial"/>
          <w:sz w:val="24"/>
          <w:szCs w:val="24"/>
        </w:rPr>
        <w:t xml:space="preserve">, J.; Stefan, R.; Van </w:t>
      </w:r>
      <w:proofErr w:type="spellStart"/>
      <w:r w:rsidRPr="00A9068F">
        <w:rPr>
          <w:rFonts w:cs="Arial"/>
          <w:sz w:val="24"/>
          <w:szCs w:val="24"/>
        </w:rPr>
        <w:t>Staden</w:t>
      </w:r>
      <w:proofErr w:type="spellEnd"/>
      <w:r w:rsidRPr="00A9068F">
        <w:rPr>
          <w:rFonts w:cs="Arial"/>
          <w:sz w:val="24"/>
          <w:szCs w:val="24"/>
        </w:rPr>
        <w:t xml:space="preserve">, J.; </w:t>
      </w:r>
      <w:proofErr w:type="spellStart"/>
      <w:r w:rsidRPr="00A9068F">
        <w:rPr>
          <w:rFonts w:cs="Arial"/>
          <w:sz w:val="24"/>
          <w:szCs w:val="24"/>
        </w:rPr>
        <w:t>Danzer</w:t>
      </w:r>
      <w:proofErr w:type="spellEnd"/>
      <w:r w:rsidRPr="00A9068F">
        <w:rPr>
          <w:rFonts w:cs="Arial"/>
          <w:sz w:val="24"/>
          <w:szCs w:val="24"/>
        </w:rPr>
        <w:t xml:space="preserve">, K.; Lindner, W.; </w:t>
      </w:r>
      <w:proofErr w:type="spellStart"/>
      <w:r w:rsidRPr="00A9068F">
        <w:rPr>
          <w:rFonts w:cs="Arial"/>
          <w:sz w:val="24"/>
          <w:szCs w:val="24"/>
        </w:rPr>
        <w:t>Thorburn</w:t>
      </w:r>
      <w:proofErr w:type="spellEnd"/>
      <w:r w:rsidRPr="00A9068F">
        <w:rPr>
          <w:rFonts w:cs="Arial"/>
          <w:sz w:val="24"/>
          <w:szCs w:val="24"/>
        </w:rPr>
        <w:t xml:space="preserve"> Burns, D.; </w:t>
      </w:r>
      <w:proofErr w:type="spellStart"/>
      <w:r w:rsidRPr="00A9068F">
        <w:rPr>
          <w:rFonts w:cs="Arial"/>
          <w:sz w:val="24"/>
          <w:szCs w:val="24"/>
        </w:rPr>
        <w:t>Fajgeli</w:t>
      </w:r>
      <w:proofErr w:type="spellEnd"/>
      <w:r w:rsidRPr="00A9068F">
        <w:rPr>
          <w:rFonts w:cs="Arial"/>
          <w:sz w:val="24"/>
          <w:szCs w:val="24"/>
        </w:rPr>
        <w:t xml:space="preserve">, A.; and Muller, H. 2001. Selectivity in Analytical Chemistry, </w:t>
      </w:r>
      <w:r w:rsidRPr="00A9068F">
        <w:rPr>
          <w:rFonts w:cs="Arial"/>
          <w:i/>
          <w:iCs/>
          <w:sz w:val="24"/>
          <w:szCs w:val="24"/>
        </w:rPr>
        <w:t>Pure Appl. Chem.</w:t>
      </w:r>
      <w:r w:rsidRPr="00A9068F">
        <w:rPr>
          <w:rFonts w:cs="Arial"/>
          <w:sz w:val="24"/>
          <w:szCs w:val="24"/>
        </w:rPr>
        <w:t>, Vol. 73, No. 8, pp. 1381–1386.</w:t>
      </w:r>
    </w:p>
    <w:p w14:paraId="57D187E0" w14:textId="77777777" w:rsidR="0053202D" w:rsidRPr="00A9068F" w:rsidRDefault="0053202D" w:rsidP="0053202D">
      <w:pPr>
        <w:pStyle w:val="ListParagraph"/>
        <w:rPr>
          <w:rFonts w:cs="Arial"/>
          <w:color w:val="000000"/>
          <w:sz w:val="24"/>
          <w:szCs w:val="24"/>
          <w:u w:val="single"/>
        </w:rPr>
      </w:pPr>
    </w:p>
    <w:p w14:paraId="1C568CC5" w14:textId="77777777" w:rsidR="0053202D" w:rsidRPr="00A9068F" w:rsidRDefault="0053202D" w:rsidP="0032225D">
      <w:pPr>
        <w:pStyle w:val="ListParagraph"/>
        <w:numPr>
          <w:ilvl w:val="0"/>
          <w:numId w:val="3"/>
        </w:numPr>
        <w:rPr>
          <w:rStyle w:val="Hyperlink"/>
          <w:rFonts w:cs="Arial"/>
          <w:sz w:val="24"/>
          <w:szCs w:val="24"/>
        </w:rPr>
      </w:pPr>
      <w:r w:rsidRPr="00A9068F">
        <w:rPr>
          <w:rFonts w:cs="Arial"/>
          <w:sz w:val="24"/>
          <w:szCs w:val="24"/>
        </w:rPr>
        <w:t xml:space="preserve">IUPAC Compendium of Chemical Technology, Electronic Version, </w:t>
      </w:r>
      <w:hyperlink r:id="rId12" w:history="1">
        <w:r w:rsidRPr="00A9068F">
          <w:rPr>
            <w:rStyle w:val="Hyperlink"/>
            <w:rFonts w:cs="Arial"/>
            <w:sz w:val="24"/>
            <w:szCs w:val="24"/>
          </w:rPr>
          <w:t>http://goldbook.iupac.org/D01629.html</w:t>
        </w:r>
      </w:hyperlink>
      <w:r w:rsidRPr="00A9068F">
        <w:rPr>
          <w:rStyle w:val="Hyperlink"/>
          <w:rFonts w:cs="Arial"/>
          <w:sz w:val="24"/>
          <w:szCs w:val="24"/>
        </w:rPr>
        <w:t xml:space="preserve"> </w:t>
      </w:r>
      <w:r w:rsidRPr="00A9068F">
        <w:rPr>
          <w:rStyle w:val="Hyperlink"/>
          <w:rFonts w:eastAsia="Times New Roman" w:cs="Arial"/>
          <w:color w:val="auto"/>
          <w:sz w:val="24"/>
          <w:szCs w:val="24"/>
        </w:rPr>
        <w:t>(access on 0</w:t>
      </w:r>
      <w:r w:rsidR="009F24B0" w:rsidRPr="00A9068F">
        <w:rPr>
          <w:rStyle w:val="Hyperlink"/>
          <w:rFonts w:eastAsia="Times New Roman" w:cs="Arial"/>
          <w:color w:val="auto"/>
          <w:sz w:val="24"/>
          <w:szCs w:val="24"/>
        </w:rPr>
        <w:t>2</w:t>
      </w:r>
      <w:r w:rsidRPr="00A9068F">
        <w:rPr>
          <w:rStyle w:val="Hyperlink"/>
          <w:rFonts w:eastAsia="Times New Roman" w:cs="Arial"/>
          <w:color w:val="auto"/>
          <w:sz w:val="24"/>
          <w:szCs w:val="24"/>
        </w:rPr>
        <w:t>-2</w:t>
      </w:r>
      <w:r w:rsidR="009F24B0" w:rsidRPr="00A9068F">
        <w:rPr>
          <w:rStyle w:val="Hyperlink"/>
          <w:rFonts w:eastAsia="Times New Roman" w:cs="Arial"/>
          <w:color w:val="auto"/>
          <w:sz w:val="24"/>
          <w:szCs w:val="24"/>
        </w:rPr>
        <w:t>3</w:t>
      </w:r>
      <w:r w:rsidRPr="00A9068F">
        <w:rPr>
          <w:rStyle w:val="Hyperlink"/>
          <w:rFonts w:eastAsia="Times New Roman" w:cs="Arial"/>
          <w:color w:val="auto"/>
          <w:sz w:val="24"/>
          <w:szCs w:val="24"/>
        </w:rPr>
        <w:t>-201</w:t>
      </w:r>
      <w:r w:rsidR="009F24B0" w:rsidRPr="00A9068F">
        <w:rPr>
          <w:rStyle w:val="Hyperlink"/>
          <w:rFonts w:eastAsia="Times New Roman" w:cs="Arial"/>
          <w:color w:val="auto"/>
          <w:sz w:val="24"/>
          <w:szCs w:val="24"/>
        </w:rPr>
        <w:t>4</w:t>
      </w:r>
      <w:r w:rsidRPr="00A9068F">
        <w:rPr>
          <w:rStyle w:val="Hyperlink"/>
          <w:rFonts w:eastAsia="Times New Roman" w:cs="Arial"/>
          <w:color w:val="auto"/>
          <w:sz w:val="24"/>
          <w:szCs w:val="24"/>
        </w:rPr>
        <w:t>)</w:t>
      </w:r>
    </w:p>
    <w:p w14:paraId="3F6326BA" w14:textId="77777777" w:rsidR="00411B07" w:rsidRPr="00A32CE4" w:rsidRDefault="00A27EC7">
      <w:pPr>
        <w:rPr>
          <w:rFonts w:ascii="Arial" w:hAnsi="Arial" w:cs="Arial"/>
        </w:rPr>
      </w:pPr>
    </w:p>
    <w:sectPr w:rsidR="00411B07" w:rsidRPr="00A32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F3A9A"/>
    <w:multiLevelType w:val="hybridMultilevel"/>
    <w:tmpl w:val="EC76F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AC3F08"/>
    <w:multiLevelType w:val="hybridMultilevel"/>
    <w:tmpl w:val="1336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8B7BEB"/>
    <w:multiLevelType w:val="hybridMultilevel"/>
    <w:tmpl w:val="6400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C57FB1"/>
    <w:multiLevelType w:val="hybridMultilevel"/>
    <w:tmpl w:val="21A407A6"/>
    <w:lvl w:ilvl="0" w:tplc="AB7435C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770FBE"/>
    <w:multiLevelType w:val="hybridMultilevel"/>
    <w:tmpl w:val="5A2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ynthia Larive">
    <w15:presenceInfo w15:providerId="Windows Live" w15:userId="a3a3da4bd498f5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02D"/>
    <w:rsid w:val="00037722"/>
    <w:rsid w:val="00104DEF"/>
    <w:rsid w:val="00114B49"/>
    <w:rsid w:val="0015353E"/>
    <w:rsid w:val="0028158C"/>
    <w:rsid w:val="002D6F17"/>
    <w:rsid w:val="003022B2"/>
    <w:rsid w:val="0032225D"/>
    <w:rsid w:val="00344698"/>
    <w:rsid w:val="003D1CA7"/>
    <w:rsid w:val="003D5503"/>
    <w:rsid w:val="00454CAE"/>
    <w:rsid w:val="004C4A05"/>
    <w:rsid w:val="00530308"/>
    <w:rsid w:val="0053202D"/>
    <w:rsid w:val="00593777"/>
    <w:rsid w:val="00594B96"/>
    <w:rsid w:val="005F517D"/>
    <w:rsid w:val="00745131"/>
    <w:rsid w:val="00757B17"/>
    <w:rsid w:val="00850FFD"/>
    <w:rsid w:val="00982F0E"/>
    <w:rsid w:val="009F24B0"/>
    <w:rsid w:val="00A27EC7"/>
    <w:rsid w:val="00A32CE4"/>
    <w:rsid w:val="00A420C7"/>
    <w:rsid w:val="00A9068F"/>
    <w:rsid w:val="00B047A3"/>
    <w:rsid w:val="00D937B7"/>
    <w:rsid w:val="00E94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D67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02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202D"/>
    <w:rPr>
      <w:color w:val="0000FF" w:themeColor="hyperlink"/>
      <w:u w:val="single"/>
    </w:rPr>
  </w:style>
  <w:style w:type="paragraph" w:styleId="ListParagraph">
    <w:name w:val="List Paragraph"/>
    <w:basedOn w:val="Normal"/>
    <w:uiPriority w:val="34"/>
    <w:qFormat/>
    <w:rsid w:val="0053202D"/>
    <w:pPr>
      <w:ind w:left="720"/>
      <w:contextualSpacing/>
    </w:pPr>
  </w:style>
  <w:style w:type="character" w:styleId="Emphasis">
    <w:name w:val="Emphasis"/>
    <w:basedOn w:val="DefaultParagraphFont"/>
    <w:uiPriority w:val="20"/>
    <w:qFormat/>
    <w:rsid w:val="0053202D"/>
    <w:rPr>
      <w:i/>
      <w:iCs/>
    </w:rPr>
  </w:style>
  <w:style w:type="table" w:styleId="TableGrid">
    <w:name w:val="Table Grid"/>
    <w:basedOn w:val="TableNormal"/>
    <w:uiPriority w:val="59"/>
    <w:rsid w:val="0053202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A8"/>
    <w:uiPriority w:val="99"/>
    <w:rsid w:val="0053202D"/>
    <w:rPr>
      <w:rFonts w:cs="Adobe Garamond Pro"/>
      <w:color w:val="000000"/>
      <w:sz w:val="18"/>
      <w:szCs w:val="18"/>
    </w:rPr>
  </w:style>
  <w:style w:type="character" w:styleId="CommentReference">
    <w:name w:val="annotation reference"/>
    <w:basedOn w:val="DefaultParagraphFont"/>
    <w:uiPriority w:val="99"/>
    <w:semiHidden/>
    <w:unhideWhenUsed/>
    <w:rsid w:val="0053202D"/>
    <w:rPr>
      <w:sz w:val="16"/>
      <w:szCs w:val="16"/>
    </w:rPr>
  </w:style>
  <w:style w:type="paragraph" w:styleId="CommentText">
    <w:name w:val="annotation text"/>
    <w:basedOn w:val="Normal"/>
    <w:link w:val="CommentTextChar"/>
    <w:uiPriority w:val="99"/>
    <w:semiHidden/>
    <w:unhideWhenUsed/>
    <w:rsid w:val="0053202D"/>
    <w:pPr>
      <w:spacing w:line="240" w:lineRule="auto"/>
    </w:pPr>
    <w:rPr>
      <w:sz w:val="20"/>
      <w:szCs w:val="20"/>
    </w:rPr>
  </w:style>
  <w:style w:type="character" w:customStyle="1" w:styleId="CommentTextChar">
    <w:name w:val="Comment Text Char"/>
    <w:basedOn w:val="DefaultParagraphFont"/>
    <w:link w:val="CommentText"/>
    <w:uiPriority w:val="99"/>
    <w:semiHidden/>
    <w:rsid w:val="0053202D"/>
    <w:rPr>
      <w:rFonts w:eastAsiaTheme="minorEastAsia"/>
      <w:sz w:val="20"/>
      <w:szCs w:val="20"/>
    </w:rPr>
  </w:style>
  <w:style w:type="paragraph" w:styleId="BalloonText">
    <w:name w:val="Balloon Text"/>
    <w:basedOn w:val="Normal"/>
    <w:link w:val="BalloonTextChar"/>
    <w:uiPriority w:val="99"/>
    <w:semiHidden/>
    <w:unhideWhenUsed/>
    <w:rsid w:val="00532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02D"/>
    <w:rPr>
      <w:rFonts w:ascii="Tahoma" w:eastAsiaTheme="minorEastAsia" w:hAnsi="Tahoma" w:cs="Tahoma"/>
      <w:sz w:val="16"/>
      <w:szCs w:val="16"/>
    </w:rPr>
  </w:style>
  <w:style w:type="character" w:styleId="FollowedHyperlink">
    <w:name w:val="FollowedHyperlink"/>
    <w:basedOn w:val="DefaultParagraphFont"/>
    <w:uiPriority w:val="99"/>
    <w:semiHidden/>
    <w:unhideWhenUsed/>
    <w:rsid w:val="009F24B0"/>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3D5503"/>
    <w:rPr>
      <w:b/>
      <w:bCs/>
    </w:rPr>
  </w:style>
  <w:style w:type="character" w:customStyle="1" w:styleId="CommentSubjectChar">
    <w:name w:val="Comment Subject Char"/>
    <w:basedOn w:val="CommentTextChar"/>
    <w:link w:val="CommentSubject"/>
    <w:uiPriority w:val="99"/>
    <w:semiHidden/>
    <w:rsid w:val="003D5503"/>
    <w:rPr>
      <w:rFonts w:eastAsiaTheme="minorEastAsia"/>
      <w:b/>
      <w:bCs/>
      <w:sz w:val="20"/>
      <w:szCs w:val="20"/>
    </w:rPr>
  </w:style>
  <w:style w:type="paragraph" w:styleId="Revision">
    <w:name w:val="Revision"/>
    <w:hidden/>
    <w:uiPriority w:val="99"/>
    <w:semiHidden/>
    <w:rsid w:val="00344698"/>
    <w:pPr>
      <w:spacing w:after="0" w:line="240" w:lineRule="auto"/>
    </w:pPr>
    <w:rPr>
      <w:rFonts w:eastAsiaTheme="minorEastAs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02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202D"/>
    <w:rPr>
      <w:color w:val="0000FF" w:themeColor="hyperlink"/>
      <w:u w:val="single"/>
    </w:rPr>
  </w:style>
  <w:style w:type="paragraph" w:styleId="ListParagraph">
    <w:name w:val="List Paragraph"/>
    <w:basedOn w:val="Normal"/>
    <w:uiPriority w:val="34"/>
    <w:qFormat/>
    <w:rsid w:val="0053202D"/>
    <w:pPr>
      <w:ind w:left="720"/>
      <w:contextualSpacing/>
    </w:pPr>
  </w:style>
  <w:style w:type="character" w:styleId="Emphasis">
    <w:name w:val="Emphasis"/>
    <w:basedOn w:val="DefaultParagraphFont"/>
    <w:uiPriority w:val="20"/>
    <w:qFormat/>
    <w:rsid w:val="0053202D"/>
    <w:rPr>
      <w:i/>
      <w:iCs/>
    </w:rPr>
  </w:style>
  <w:style w:type="table" w:styleId="TableGrid">
    <w:name w:val="Table Grid"/>
    <w:basedOn w:val="TableNormal"/>
    <w:uiPriority w:val="59"/>
    <w:rsid w:val="0053202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A8"/>
    <w:uiPriority w:val="99"/>
    <w:rsid w:val="0053202D"/>
    <w:rPr>
      <w:rFonts w:cs="Adobe Garamond Pro"/>
      <w:color w:val="000000"/>
      <w:sz w:val="18"/>
      <w:szCs w:val="18"/>
    </w:rPr>
  </w:style>
  <w:style w:type="character" w:styleId="CommentReference">
    <w:name w:val="annotation reference"/>
    <w:basedOn w:val="DefaultParagraphFont"/>
    <w:uiPriority w:val="99"/>
    <w:semiHidden/>
    <w:unhideWhenUsed/>
    <w:rsid w:val="0053202D"/>
    <w:rPr>
      <w:sz w:val="16"/>
      <w:szCs w:val="16"/>
    </w:rPr>
  </w:style>
  <w:style w:type="paragraph" w:styleId="CommentText">
    <w:name w:val="annotation text"/>
    <w:basedOn w:val="Normal"/>
    <w:link w:val="CommentTextChar"/>
    <w:uiPriority w:val="99"/>
    <w:semiHidden/>
    <w:unhideWhenUsed/>
    <w:rsid w:val="0053202D"/>
    <w:pPr>
      <w:spacing w:line="240" w:lineRule="auto"/>
    </w:pPr>
    <w:rPr>
      <w:sz w:val="20"/>
      <w:szCs w:val="20"/>
    </w:rPr>
  </w:style>
  <w:style w:type="character" w:customStyle="1" w:styleId="CommentTextChar">
    <w:name w:val="Comment Text Char"/>
    <w:basedOn w:val="DefaultParagraphFont"/>
    <w:link w:val="CommentText"/>
    <w:uiPriority w:val="99"/>
    <w:semiHidden/>
    <w:rsid w:val="0053202D"/>
    <w:rPr>
      <w:rFonts w:eastAsiaTheme="minorEastAsia"/>
      <w:sz w:val="20"/>
      <w:szCs w:val="20"/>
    </w:rPr>
  </w:style>
  <w:style w:type="paragraph" w:styleId="BalloonText">
    <w:name w:val="Balloon Text"/>
    <w:basedOn w:val="Normal"/>
    <w:link w:val="BalloonTextChar"/>
    <w:uiPriority w:val="99"/>
    <w:semiHidden/>
    <w:unhideWhenUsed/>
    <w:rsid w:val="00532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02D"/>
    <w:rPr>
      <w:rFonts w:ascii="Tahoma" w:eastAsiaTheme="minorEastAsia" w:hAnsi="Tahoma" w:cs="Tahoma"/>
      <w:sz w:val="16"/>
      <w:szCs w:val="16"/>
    </w:rPr>
  </w:style>
  <w:style w:type="character" w:styleId="FollowedHyperlink">
    <w:name w:val="FollowedHyperlink"/>
    <w:basedOn w:val="DefaultParagraphFont"/>
    <w:uiPriority w:val="99"/>
    <w:semiHidden/>
    <w:unhideWhenUsed/>
    <w:rsid w:val="009F24B0"/>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3D5503"/>
    <w:rPr>
      <w:b/>
      <w:bCs/>
    </w:rPr>
  </w:style>
  <w:style w:type="character" w:customStyle="1" w:styleId="CommentSubjectChar">
    <w:name w:val="Comment Subject Char"/>
    <w:basedOn w:val="CommentTextChar"/>
    <w:link w:val="CommentSubject"/>
    <w:uiPriority w:val="99"/>
    <w:semiHidden/>
    <w:rsid w:val="003D5503"/>
    <w:rPr>
      <w:rFonts w:eastAsiaTheme="minorEastAsia"/>
      <w:b/>
      <w:bCs/>
      <w:sz w:val="20"/>
      <w:szCs w:val="20"/>
    </w:rPr>
  </w:style>
  <w:style w:type="paragraph" w:styleId="Revision">
    <w:name w:val="Revision"/>
    <w:hidden/>
    <w:uiPriority w:val="99"/>
    <w:semiHidden/>
    <w:rsid w:val="00344698"/>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ater.epa.gov/type/rsl/monitoring/stream_index.cfm" TargetMode="External"/><Relationship Id="rId12" Type="http://schemas.openxmlformats.org/officeDocument/2006/relationships/hyperlink" Target="http://goldbook.iupac.org/D01629.html" TargetMode="External"/><Relationship Id="rId13" Type="http://schemas.openxmlformats.org/officeDocument/2006/relationships/fontTable" Target="fontTable.xml"/><Relationship Id="rId14" Type="http://schemas.openxmlformats.org/officeDocument/2006/relationships/theme" Target="theme/theme1.xml"/><Relationship Id="rId16"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asdlib.org/onlineArticles/ecourseware/Analytical%20Chemistry%202.0/Text_Files.html" TargetMode="External"/><Relationship Id="rId8" Type="http://schemas.openxmlformats.org/officeDocument/2006/relationships/hyperlink" Target="http://www.chemguide.co.uk/analysis/uvvisiblemenu.html" TargetMode="External"/><Relationship Id="rId9" Type="http://schemas.openxmlformats.org/officeDocument/2006/relationships/hyperlink" Target="http://web.mst.edu/~gbert/ColorScan/Spectrophotometry.HTML" TargetMode="External"/><Relationship Id="rId10"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310B6-D21D-8A47-8A78-4BE65EB2A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1740</Words>
  <Characters>9922</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Cavinato</dc:creator>
  <cp:lastModifiedBy>Jaime Matute</cp:lastModifiedBy>
  <cp:revision>6</cp:revision>
  <dcterms:created xsi:type="dcterms:W3CDTF">2014-04-19T02:01:00Z</dcterms:created>
  <dcterms:modified xsi:type="dcterms:W3CDTF">2014-04-21T20:54:00Z</dcterms:modified>
</cp:coreProperties>
</file>