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7336092" w14:textId="77777777" w:rsidR="00824945" w:rsidRDefault="00824945" w:rsidP="001D0E7B">
      <w:pPr>
        <w:jc w:val="center"/>
        <w:rPr>
          <w:b/>
          <w:sz w:val="32"/>
          <w:szCs w:val="32"/>
        </w:rPr>
      </w:pPr>
      <w:r>
        <w:rPr>
          <w:b/>
          <w:sz w:val="32"/>
          <w:szCs w:val="32"/>
        </w:rPr>
        <w:t xml:space="preserve">ASDL Learning Module - </w:t>
      </w:r>
      <w:r w:rsidR="001D0E7B">
        <w:rPr>
          <w:b/>
          <w:sz w:val="32"/>
          <w:szCs w:val="32"/>
        </w:rPr>
        <w:t>Lithia Water Springs</w:t>
      </w:r>
    </w:p>
    <w:p w14:paraId="490C994E" w14:textId="77777777" w:rsidR="001D0E7B" w:rsidRDefault="00824945" w:rsidP="001D0E7B">
      <w:pPr>
        <w:jc w:val="center"/>
        <w:rPr>
          <w:rStyle w:val="Hyperlink"/>
          <w:b/>
          <w:szCs w:val="24"/>
        </w:rPr>
      </w:pPr>
      <w:r>
        <w:rPr>
          <w:b/>
          <w:sz w:val="32"/>
          <w:szCs w:val="32"/>
        </w:rPr>
        <w:t>(Chemical Equilibria/Water Analysis)</w:t>
      </w:r>
    </w:p>
    <w:p w14:paraId="03621E21" w14:textId="77777777" w:rsidR="001D0E7B" w:rsidRDefault="001D0E7B" w:rsidP="001D0E7B">
      <w:pPr>
        <w:rPr>
          <w:szCs w:val="24"/>
        </w:rPr>
      </w:pPr>
      <w:r>
        <w:rPr>
          <w:b/>
          <w:bCs/>
          <w:noProof/>
          <w:szCs w:val="24"/>
          <w:u w:val="single"/>
          <w:lang w:eastAsia="en-US"/>
        </w:rPr>
        <w:drawing>
          <wp:anchor distT="0" distB="0" distL="114935" distR="114935" simplePos="0" relativeHeight="251661312" behindDoc="1" locked="0" layoutInCell="1" allowOverlap="1" wp14:anchorId="39E46A66" wp14:editId="0AD28CD8">
            <wp:simplePos x="0" y="0"/>
            <wp:positionH relativeFrom="column">
              <wp:posOffset>2768600</wp:posOffset>
            </wp:positionH>
            <wp:positionV relativeFrom="paragraph">
              <wp:posOffset>71755</wp:posOffset>
            </wp:positionV>
            <wp:extent cx="3037840" cy="1924050"/>
            <wp:effectExtent l="19050" t="0" r="0" b="0"/>
            <wp:wrapTight wrapText="bothSides">
              <wp:wrapPolygon edited="0">
                <wp:start x="-135" y="0"/>
                <wp:lineTo x="-135" y="21386"/>
                <wp:lineTo x="21537" y="21386"/>
                <wp:lineTo x="21537" y="0"/>
                <wp:lineTo x="-135" y="0"/>
              </wp:wrapPolygon>
            </wp:wrapTight>
            <wp:docPr id="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srcRect/>
                    <a:stretch>
                      <a:fillRect/>
                    </a:stretch>
                  </pic:blipFill>
                  <pic:spPr bwMode="auto">
                    <a:xfrm>
                      <a:off x="0" y="0"/>
                      <a:ext cx="3037840" cy="1924050"/>
                    </a:xfrm>
                    <a:prstGeom prst="rect">
                      <a:avLst/>
                    </a:prstGeom>
                    <a:solidFill>
                      <a:srgbClr val="FFFFFF"/>
                    </a:solidFill>
                    <a:ln w="9525">
                      <a:noFill/>
                      <a:miter lim="800000"/>
                      <a:headEnd/>
                      <a:tailEnd/>
                    </a:ln>
                  </pic:spPr>
                </pic:pic>
              </a:graphicData>
            </a:graphic>
          </wp:anchor>
        </w:drawing>
      </w:r>
      <w:r>
        <w:rPr>
          <w:b/>
          <w:bCs/>
          <w:szCs w:val="24"/>
          <w:u w:val="single"/>
        </w:rPr>
        <w:t>Statement of the Problem</w:t>
      </w:r>
    </w:p>
    <w:p w14:paraId="662A94D4" w14:textId="77777777" w:rsidR="001D0E7B" w:rsidRDefault="001371EC" w:rsidP="001D0E7B">
      <w:pPr>
        <w:rPr>
          <w:szCs w:val="24"/>
        </w:rPr>
      </w:pPr>
      <w:r>
        <w:rPr>
          <w:noProof/>
          <w:lang w:eastAsia="en-US"/>
        </w:rPr>
        <w:pict w14:anchorId="4A720060">
          <v:shapetype id="_x0000_t202" coordsize="21600,21600" o:spt="202" path="m0,0l0,21600,21600,21600,21600,0xe">
            <v:stroke joinstyle="miter"/>
            <v:path gradientshapeok="t" o:connecttype="rect"/>
          </v:shapetype>
          <v:shape id="Text Box 2" o:spid="_x0000_s1026" type="#_x0000_t202" style="position:absolute;margin-left:218.05pt;margin-top:134.05pt;width:240.85pt;height:28.6pt;z-index:251660288;visibility:visible;mso-wrap-distance-left:9.05pt;mso-wrap-distance-right:9.05p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" stroked="f">
            <v:textbox inset="0,0,0,0">
              <w:txbxContent>
                <w:p w14:paraId="0180C609" w14:textId="77777777" w:rsidR="00CC37F6" w:rsidRPr="001D0E7B" w:rsidRDefault="00CC37F6" w:rsidP="001D0E7B">
                  <w:pPr>
                    <w:pStyle w:val="Caption"/>
                    <w:jc w:val="center"/>
                    <w:rPr>
                      <w:color w:val="auto"/>
                    </w:rPr>
                  </w:pPr>
                  <w:proofErr w:type="gramStart"/>
                  <w:r w:rsidRPr="001D0E7B">
                    <w:rPr>
                      <w:color w:val="auto"/>
                    </w:rPr>
                    <w:t xml:space="preserve">Figure </w:t>
                  </w:r>
                  <w:r w:rsidR="00067DCB" w:rsidRPr="001D0E7B">
                    <w:rPr>
                      <w:color w:val="auto"/>
                    </w:rPr>
                    <w:fldChar w:fldCharType="begin"/>
                  </w:r>
                  <w:r w:rsidRPr="001D0E7B">
                    <w:rPr>
                      <w:color w:val="auto"/>
                    </w:rPr>
                    <w:instrText xml:space="preserve"> SEQ "Figure" \*Arabic </w:instrText>
                  </w:r>
                  <w:r w:rsidR="00067DCB" w:rsidRPr="001D0E7B">
                    <w:rPr>
                      <w:color w:val="auto"/>
                    </w:rPr>
                    <w:fldChar w:fldCharType="separate"/>
                  </w:r>
                  <w:r>
                    <w:rPr>
                      <w:noProof/>
                      <w:color w:val="auto"/>
                    </w:rPr>
                    <w:t>1</w:t>
                  </w:r>
                  <w:r w:rsidR="00067DCB" w:rsidRPr="001D0E7B">
                    <w:rPr>
                      <w:color w:val="auto"/>
                    </w:rPr>
                    <w:fldChar w:fldCharType="end"/>
                  </w:r>
                  <w:r w:rsidRPr="001D0E7B">
                    <w:rPr>
                      <w:color w:val="auto"/>
                    </w:rPr>
                    <w:t>.</w:t>
                  </w:r>
                  <w:proofErr w:type="gramEnd"/>
                  <w:r w:rsidRPr="001D0E7B">
                    <w:rPr>
                      <w:color w:val="auto"/>
                    </w:rPr>
                    <w:t xml:space="preserve"> Lithia fountain pedestal in Ashland's Plaza circa Summer 2006</w:t>
                  </w:r>
                </w:p>
              </w:txbxContent>
            </v:textbox>
            <w10:wrap type="square"/>
          </v:shape>
        </w:pict>
      </w:r>
      <w:r w:rsidR="001D0E7B">
        <w:rPr>
          <w:szCs w:val="24"/>
        </w:rPr>
        <w:t>The discovery of natural springs in the vicinity of Ashland, Oregon sparked the pursuit of a “spa economy” during the 1910s and 1920s. The lithium concentration in this spring, which is the second highest in the U.S., was a marketing point for town leaders in the early 20</w:t>
      </w:r>
      <w:r w:rsidR="001D0E7B">
        <w:rPr>
          <w:szCs w:val="24"/>
          <w:vertAlign w:val="superscript"/>
        </w:rPr>
        <w:t>th</w:t>
      </w:r>
      <w:r w:rsidR="001D0E7B">
        <w:rPr>
          <w:szCs w:val="24"/>
        </w:rPr>
        <w:t xml:space="preserve"> century. Envisioning flocks of tourists searching for rest cures and treatments for various ailments, bond measures were passed to fund the system of pipes used to transport Lithia water several miles to downtown Ashland. Although this approach to economic development has largely been supplanted by the Oregon Shakespeare Festival, the consumption of Lithia water is still seen as a “rite of passage” for first-time tourists. There are also those who still put faith in the curative powers of Lithia water, especially since lithium salts have more recently been prescribed as a drug for chemical depression. </w:t>
      </w:r>
    </w:p>
    <w:p w14:paraId="0A9C75BD" w14:textId="77777777" w:rsidR="001D0E7B" w:rsidRDefault="001D0E7B" w:rsidP="001D0E7B">
      <w:pPr>
        <w:rPr>
          <w:szCs w:val="24"/>
        </w:rPr>
      </w:pPr>
      <w:r>
        <w:rPr>
          <w:szCs w:val="24"/>
        </w:rPr>
        <w:t>What are the major inorganic components dissolved in Lithia water and how do they contribute to the characteristics of this spring water?  How much lithium is in Ashland’s Lithia water, and can one safely consume enough Lithia water to ingest a therapeutically significant dose? The understanding and use of stoichiometry, equilibria and statistics can bring to light the nature of this naturally effervescent spring water.</w:t>
      </w:r>
    </w:p>
    <w:p w14:paraId="2F5D9CA4" w14:textId="77777777" w:rsidR="001D0E7B" w:rsidRDefault="001D0E7B" w:rsidP="001D0E7B">
      <w:pPr>
        <w:rPr>
          <w:szCs w:val="24"/>
        </w:rPr>
      </w:pPr>
      <w:r>
        <w:rPr>
          <w:szCs w:val="24"/>
        </w:rPr>
        <w:t xml:space="preserve">The problem for this group of analytical chemistry students is: </w:t>
      </w:r>
    </w:p>
    <w:p w14:paraId="354F1645" w14:textId="77777777" w:rsidR="001D0E7B" w:rsidRDefault="001D0E7B" w:rsidP="001D0E7B">
      <w:pPr>
        <w:numPr>
          <w:ilvl w:val="0"/>
          <w:numId w:val="6"/>
        </w:numPr>
        <w:rPr>
          <w:szCs w:val="24"/>
        </w:rPr>
      </w:pPr>
      <w:r>
        <w:rPr>
          <w:szCs w:val="24"/>
        </w:rPr>
        <w:t>Can the most prevalent inorganic ions be determined in Lithia water using a representative cross-section of analytical techniques (</w:t>
      </w:r>
      <w:r w:rsidR="00CC37F6">
        <w:rPr>
          <w:szCs w:val="24"/>
        </w:rPr>
        <w:t xml:space="preserve">e.g. </w:t>
      </w:r>
      <w:proofErr w:type="spellStart"/>
      <w:r>
        <w:rPr>
          <w:szCs w:val="24"/>
        </w:rPr>
        <w:t>titrimetry</w:t>
      </w:r>
      <w:proofErr w:type="spellEnd"/>
      <w:r>
        <w:rPr>
          <w:szCs w:val="24"/>
        </w:rPr>
        <w:t xml:space="preserve">, </w:t>
      </w:r>
      <w:proofErr w:type="spellStart"/>
      <w:r>
        <w:rPr>
          <w:szCs w:val="24"/>
        </w:rPr>
        <w:t>potentiometry</w:t>
      </w:r>
      <w:proofErr w:type="spellEnd"/>
      <w:r>
        <w:rPr>
          <w:szCs w:val="24"/>
        </w:rPr>
        <w:t>, UV-Visible spectroscopy)?</w:t>
      </w:r>
    </w:p>
    <w:p w14:paraId="361634FA" w14:textId="77777777" w:rsidR="001D0E7B" w:rsidRDefault="001D0E7B" w:rsidP="001D0E7B">
      <w:pPr>
        <w:numPr>
          <w:ilvl w:val="0"/>
          <w:numId w:val="6"/>
        </w:numPr>
        <w:rPr>
          <w:szCs w:val="24"/>
        </w:rPr>
      </w:pPr>
      <w:r>
        <w:rPr>
          <w:szCs w:val="24"/>
        </w:rPr>
        <w:t xml:space="preserve">Can </w:t>
      </w:r>
      <w:proofErr w:type="spellStart"/>
      <w:r>
        <w:rPr>
          <w:szCs w:val="24"/>
        </w:rPr>
        <w:t>univariate</w:t>
      </w:r>
      <w:proofErr w:type="spellEnd"/>
      <w:r>
        <w:rPr>
          <w:szCs w:val="24"/>
        </w:rPr>
        <w:t xml:space="preserve"> statistics be used to support the claim that the most prevalent inorganic ions have been determined?</w:t>
      </w:r>
    </w:p>
    <w:p w14:paraId="0CFB217B" w14:textId="77777777" w:rsidR="001D0E7B" w:rsidRDefault="00295956" w:rsidP="001D0E7B">
      <w:pPr>
        <w:rPr>
          <w:b/>
          <w:bCs/>
          <w:i/>
          <w:iCs/>
          <w:szCs w:val="24"/>
        </w:rPr>
      </w:pPr>
      <w:r>
        <w:rPr>
          <w:szCs w:val="24"/>
        </w:rPr>
        <w:t>To</w:t>
      </w:r>
      <w:r w:rsidR="001D0E7B">
        <w:rPr>
          <w:szCs w:val="24"/>
        </w:rPr>
        <w:t xml:space="preserve"> answer these questions, </w:t>
      </w:r>
      <w:r>
        <w:rPr>
          <w:szCs w:val="24"/>
        </w:rPr>
        <w:t xml:space="preserve">it is necessary to review additional background information about Lithia water </w:t>
      </w:r>
      <w:r w:rsidR="001D0E7B">
        <w:rPr>
          <w:szCs w:val="24"/>
        </w:rPr>
        <w:t xml:space="preserve">and </w:t>
      </w:r>
      <w:r>
        <w:rPr>
          <w:szCs w:val="24"/>
        </w:rPr>
        <w:t xml:space="preserve">understand </w:t>
      </w:r>
      <w:r w:rsidR="001D0E7B">
        <w:rPr>
          <w:szCs w:val="24"/>
        </w:rPr>
        <w:t xml:space="preserve">general guidelines </w:t>
      </w:r>
      <w:r>
        <w:rPr>
          <w:szCs w:val="24"/>
        </w:rPr>
        <w:t>for the analysis of inorganic ions in water samples</w:t>
      </w:r>
      <w:r w:rsidR="001D0E7B">
        <w:rPr>
          <w:szCs w:val="24"/>
        </w:rPr>
        <w:t>.</w:t>
      </w:r>
    </w:p>
    <w:p w14:paraId="19402A2D" w14:textId="77777777" w:rsidR="001D0E7B" w:rsidRDefault="001D0E7B" w:rsidP="001D0E7B">
      <w:pPr>
        <w:rPr>
          <w:szCs w:val="24"/>
        </w:rPr>
      </w:pPr>
      <w:r>
        <w:rPr>
          <w:b/>
          <w:bCs/>
          <w:i/>
          <w:iCs/>
          <w:szCs w:val="24"/>
        </w:rPr>
        <w:lastRenderedPageBreak/>
        <w:t xml:space="preserve">Definitions of </w:t>
      </w:r>
      <w:proofErr w:type="spellStart"/>
      <w:r>
        <w:rPr>
          <w:b/>
          <w:bCs/>
          <w:i/>
          <w:iCs/>
          <w:szCs w:val="24"/>
        </w:rPr>
        <w:t>Analyte</w:t>
      </w:r>
      <w:proofErr w:type="spellEnd"/>
      <w:r>
        <w:rPr>
          <w:b/>
          <w:bCs/>
          <w:i/>
          <w:iCs/>
          <w:szCs w:val="24"/>
        </w:rPr>
        <w:t xml:space="preserve"> Levels and Choice of Analytical Methods</w:t>
      </w:r>
    </w:p>
    <w:p w14:paraId="4D9EC68E" w14:textId="77777777" w:rsidR="001D0E7B" w:rsidRDefault="001D0E7B" w:rsidP="001D0E7B">
      <w:pPr>
        <w:rPr>
          <w:szCs w:val="24"/>
        </w:rPr>
      </w:pPr>
      <w:r>
        <w:rPr>
          <w:szCs w:val="24"/>
        </w:rPr>
        <w:t xml:space="preserve">An </w:t>
      </w:r>
      <w:proofErr w:type="spellStart"/>
      <w:r>
        <w:rPr>
          <w:b/>
          <w:bCs/>
          <w:i/>
          <w:iCs/>
          <w:szCs w:val="24"/>
        </w:rPr>
        <w:t>analyte</w:t>
      </w:r>
      <w:proofErr w:type="spellEnd"/>
      <w:r>
        <w:rPr>
          <w:szCs w:val="24"/>
        </w:rPr>
        <w:t xml:space="preserve"> is a component in a mixture that is of interest to the analyst, and the </w:t>
      </w:r>
      <w:r>
        <w:rPr>
          <w:b/>
          <w:bCs/>
          <w:i/>
          <w:iCs/>
          <w:szCs w:val="24"/>
        </w:rPr>
        <w:t>sample matrix</w:t>
      </w:r>
      <w:r>
        <w:rPr>
          <w:szCs w:val="24"/>
        </w:rPr>
        <w:t xml:space="preserve"> is the rest of the sample. For example, when an analyst determines the concentration of lithium in Lithia water, lithium is the </w:t>
      </w:r>
      <w:proofErr w:type="spellStart"/>
      <w:r>
        <w:rPr>
          <w:szCs w:val="24"/>
        </w:rPr>
        <w:t>analyte</w:t>
      </w:r>
      <w:proofErr w:type="spellEnd"/>
      <w:r>
        <w:rPr>
          <w:szCs w:val="24"/>
        </w:rPr>
        <w:t xml:space="preserve"> and the </w:t>
      </w:r>
      <w:r w:rsidR="00295956">
        <w:rPr>
          <w:szCs w:val="24"/>
        </w:rPr>
        <w:t>remaining components comprise</w:t>
      </w:r>
      <w:r>
        <w:rPr>
          <w:szCs w:val="24"/>
        </w:rPr>
        <w:t xml:space="preserve"> the sample matrix. An </w:t>
      </w:r>
      <w:proofErr w:type="spellStart"/>
      <w:r>
        <w:rPr>
          <w:szCs w:val="24"/>
        </w:rPr>
        <w:t>analyte</w:t>
      </w:r>
      <w:proofErr w:type="spellEnd"/>
      <w:r>
        <w:rPr>
          <w:szCs w:val="24"/>
        </w:rPr>
        <w:t xml:space="preserve"> can be classified based on the </w:t>
      </w:r>
      <w:proofErr w:type="spellStart"/>
      <w:r>
        <w:rPr>
          <w:szCs w:val="24"/>
        </w:rPr>
        <w:t>analyte</w:t>
      </w:r>
      <w:proofErr w:type="spellEnd"/>
      <w:r>
        <w:rPr>
          <w:szCs w:val="24"/>
        </w:rPr>
        <w:t xml:space="preserve"> concentration</w:t>
      </w:r>
      <w:r w:rsidR="00295956">
        <w:rPr>
          <w:szCs w:val="24"/>
        </w:rPr>
        <w:t xml:space="preserve"> as</w:t>
      </w:r>
      <w:r>
        <w:rPr>
          <w:szCs w:val="24"/>
        </w:rPr>
        <w:t xml:space="preserve"> shown in Table 1.</w:t>
      </w:r>
    </w:p>
    <w:p w14:paraId="5F3416FE" w14:textId="77777777" w:rsidR="001D0E7B" w:rsidRPr="001D0E7B" w:rsidRDefault="001D0E7B" w:rsidP="001D0E7B">
      <w:pPr>
        <w:suppressAutoHyphens w:val="0"/>
        <w:rPr>
          <w:szCs w:val="24"/>
        </w:rPr>
      </w:pPr>
      <w:r>
        <w:rPr>
          <w:b/>
          <w:bCs/>
          <w:szCs w:val="24"/>
        </w:rPr>
        <w:t xml:space="preserve">Table 1.  Suggested </w:t>
      </w:r>
      <w:proofErr w:type="spellStart"/>
      <w:r>
        <w:rPr>
          <w:b/>
          <w:bCs/>
          <w:szCs w:val="24"/>
        </w:rPr>
        <w:t>analyte</w:t>
      </w:r>
      <w:proofErr w:type="spellEnd"/>
      <w:r>
        <w:rPr>
          <w:b/>
          <w:bCs/>
          <w:szCs w:val="24"/>
        </w:rPr>
        <w:t xml:space="preserve"> classification table for Lithia water analysis. See </w:t>
      </w:r>
      <w:r>
        <w:rPr>
          <w:b/>
          <w:bCs/>
          <w:i/>
          <w:szCs w:val="24"/>
        </w:rPr>
        <w:t xml:space="preserve">Analytical Chemistry 2.0 (Chapter 3D.6, p. 51) </w:t>
      </w:r>
      <w:r w:rsidRPr="00D0053D">
        <w:rPr>
          <w:b/>
          <w:bCs/>
          <w:szCs w:val="24"/>
        </w:rPr>
        <w:t>on the Analytical Sciences Digital Library website</w:t>
      </w:r>
      <w:r>
        <w:rPr>
          <w:b/>
          <w:bCs/>
          <w:szCs w:val="24"/>
        </w:rPr>
        <w:t xml:space="preserve"> for additional information</w:t>
      </w:r>
      <w:r w:rsidRPr="00D0053D">
        <w:rPr>
          <w:b/>
          <w:bCs/>
          <w:szCs w:val="24"/>
        </w:rPr>
        <w:t>.</w:t>
      </w:r>
    </w:p>
    <w:tbl>
      <w:tblPr>
        <w:tblW w:w="9000" w:type="dxa"/>
        <w:tblInd w:w="1" w:type="dxa"/>
        <w:tblLayout w:type="fixed"/>
        <w:tblCellMar>
          <w:left w:w="0" w:type="dxa"/>
          <w:right w:w="0" w:type="dxa"/>
        </w:tblCellMar>
        <w:tblLook w:val="0000" w:firstRow="0" w:lastRow="0" w:firstColumn="0" w:lastColumn="0" w:noHBand="0" w:noVBand="0"/>
      </w:tblPr>
      <w:tblGrid>
        <w:gridCol w:w="1530"/>
        <w:gridCol w:w="2070"/>
        <w:gridCol w:w="2790"/>
        <w:gridCol w:w="2610"/>
      </w:tblGrid>
      <w:tr w:rsidR="001D0E7B" w14:paraId="39E049A3" w14:textId="77777777" w:rsidTr="00032492">
        <w:trPr>
          <w:trHeight w:val="674"/>
        </w:trPr>
        <w:tc>
          <w:tcPr>
            <w:tcW w:w="1530" w:type="dxa"/>
            <w:tcBorders>
              <w:top w:val="single" w:sz="1" w:space="0" w:color="000000"/>
              <w:left w:val="single" w:sz="1" w:space="0" w:color="000000"/>
            </w:tcBorders>
            <w:shd w:val="clear" w:color="auto" w:fill="000000"/>
            <w:vAlign w:val="center"/>
          </w:tcPr>
          <w:p w14:paraId="6C62ED35" w14:textId="77777777" w:rsidR="001D0E7B" w:rsidRDefault="001D0E7B" w:rsidP="00032492">
            <w:pPr>
              <w:pStyle w:val="TableContents"/>
              <w:spacing w:after="0"/>
              <w:jc w:val="center"/>
              <w:rPr>
                <w:b/>
                <w:bCs/>
                <w:i/>
                <w:iCs/>
                <w:color w:val="FFFFFF"/>
                <w:szCs w:val="24"/>
              </w:rPr>
            </w:pPr>
            <w:proofErr w:type="spellStart"/>
            <w:r>
              <w:rPr>
                <w:b/>
                <w:bCs/>
                <w:i/>
                <w:iCs/>
                <w:color w:val="FFFFFF"/>
                <w:szCs w:val="24"/>
              </w:rPr>
              <w:t>Analyte</w:t>
            </w:r>
            <w:proofErr w:type="spellEnd"/>
            <w:r>
              <w:rPr>
                <w:b/>
                <w:bCs/>
                <w:i/>
                <w:iCs/>
                <w:color w:val="FFFFFF"/>
                <w:szCs w:val="24"/>
              </w:rPr>
              <w:t xml:space="preserve"> Classification</w:t>
            </w:r>
          </w:p>
        </w:tc>
        <w:tc>
          <w:tcPr>
            <w:tcW w:w="2070" w:type="dxa"/>
            <w:tcBorders>
              <w:top w:val="single" w:sz="1" w:space="0" w:color="000000"/>
            </w:tcBorders>
            <w:shd w:val="clear" w:color="auto" w:fill="000000"/>
            <w:vAlign w:val="center"/>
          </w:tcPr>
          <w:p w14:paraId="2A32E96A" w14:textId="77777777" w:rsidR="001D0E7B" w:rsidRDefault="001D0E7B" w:rsidP="00032492">
            <w:pPr>
              <w:pStyle w:val="TableContents"/>
              <w:spacing w:after="0"/>
              <w:jc w:val="center"/>
              <w:rPr>
                <w:color w:val="000000"/>
                <w:szCs w:val="24"/>
              </w:rPr>
            </w:pPr>
            <w:r>
              <w:rPr>
                <w:b/>
                <w:bCs/>
                <w:i/>
                <w:iCs/>
                <w:color w:val="FFFFFF"/>
                <w:szCs w:val="24"/>
              </w:rPr>
              <w:t>Concentration Range (%(w/w) &amp; (ppm))</w:t>
            </w:r>
          </w:p>
        </w:tc>
        <w:tc>
          <w:tcPr>
            <w:tcW w:w="2790" w:type="dxa"/>
            <w:tcBorders>
              <w:top w:val="single" w:sz="1" w:space="0" w:color="000000"/>
            </w:tcBorders>
            <w:shd w:val="clear" w:color="auto" w:fill="000000"/>
            <w:vAlign w:val="center"/>
          </w:tcPr>
          <w:p w14:paraId="7E31555B" w14:textId="77777777" w:rsidR="001D0E7B" w:rsidRDefault="001D0E7B" w:rsidP="00146406">
            <w:pPr>
              <w:pStyle w:val="TableContents"/>
              <w:spacing w:after="0"/>
              <w:jc w:val="center"/>
              <w:rPr>
                <w:b/>
                <w:bCs/>
                <w:i/>
                <w:iCs/>
                <w:color w:val="FFFFFF"/>
                <w:szCs w:val="24"/>
              </w:rPr>
            </w:pPr>
            <w:r>
              <w:rPr>
                <w:b/>
                <w:bCs/>
                <w:i/>
                <w:iCs/>
                <w:color w:val="FFFFFF"/>
                <w:szCs w:val="24"/>
              </w:rPr>
              <w:t xml:space="preserve">Appropriate Analytical </w:t>
            </w:r>
            <w:r w:rsidR="00146406">
              <w:rPr>
                <w:b/>
                <w:bCs/>
                <w:i/>
                <w:iCs/>
                <w:color w:val="FFFFFF"/>
                <w:szCs w:val="24"/>
              </w:rPr>
              <w:t>Techniques</w:t>
            </w:r>
          </w:p>
        </w:tc>
        <w:tc>
          <w:tcPr>
            <w:tcW w:w="2610" w:type="dxa"/>
            <w:tcBorders>
              <w:top w:val="single" w:sz="1" w:space="0" w:color="000000"/>
              <w:right w:val="single" w:sz="1" w:space="0" w:color="000000"/>
            </w:tcBorders>
            <w:shd w:val="clear" w:color="auto" w:fill="000000"/>
            <w:vAlign w:val="center"/>
          </w:tcPr>
          <w:p w14:paraId="45A479B2" w14:textId="77777777" w:rsidR="001D0E7B" w:rsidRDefault="001D0E7B" w:rsidP="00032492">
            <w:pPr>
              <w:pStyle w:val="TableContents"/>
              <w:spacing w:after="0"/>
              <w:jc w:val="center"/>
              <w:rPr>
                <w:b/>
                <w:i/>
                <w:color w:val="FFFFFF"/>
                <w:szCs w:val="24"/>
              </w:rPr>
            </w:pPr>
            <w:proofErr w:type="spellStart"/>
            <w:r>
              <w:rPr>
                <w:b/>
                <w:i/>
                <w:color w:val="FFFFFF"/>
                <w:szCs w:val="24"/>
              </w:rPr>
              <w:t>Analyte</w:t>
            </w:r>
            <w:proofErr w:type="spellEnd"/>
            <w:r>
              <w:rPr>
                <w:b/>
                <w:i/>
                <w:color w:val="FFFFFF"/>
                <w:szCs w:val="24"/>
              </w:rPr>
              <w:t xml:space="preserve"> Amount (mg)</w:t>
            </w:r>
          </w:p>
          <w:p w14:paraId="51DD8265" w14:textId="77777777" w:rsidR="001D0E7B" w:rsidRPr="00D0053D" w:rsidRDefault="001D0E7B" w:rsidP="00032492">
            <w:pPr>
              <w:pStyle w:val="TableContents"/>
              <w:spacing w:after="0"/>
              <w:jc w:val="center"/>
              <w:rPr>
                <w:b/>
                <w:i/>
                <w:color w:val="000000"/>
                <w:szCs w:val="24"/>
              </w:rPr>
            </w:pPr>
            <w:r>
              <w:rPr>
                <w:b/>
                <w:i/>
                <w:color w:val="FFFFFF"/>
                <w:szCs w:val="24"/>
              </w:rPr>
              <w:t>Based on 25 mL sample size</w:t>
            </w:r>
          </w:p>
        </w:tc>
      </w:tr>
      <w:tr w:rsidR="001D0E7B" w14:paraId="3BA0ACCE" w14:textId="77777777" w:rsidTr="00032492">
        <w:trPr>
          <w:trHeight w:val="674"/>
        </w:trPr>
        <w:tc>
          <w:tcPr>
            <w:tcW w:w="1530" w:type="dxa"/>
            <w:tcBorders>
              <w:left w:val="single" w:sz="2" w:space="0" w:color="000000"/>
              <w:bottom w:val="single" w:sz="4" w:space="0" w:color="auto"/>
            </w:tcBorders>
            <w:shd w:val="clear" w:color="auto" w:fill="FFFFFF"/>
            <w:vAlign w:val="center"/>
          </w:tcPr>
          <w:p w14:paraId="6C75D019" w14:textId="77777777" w:rsidR="001D0E7B" w:rsidRDefault="001D0E7B" w:rsidP="00032492">
            <w:pPr>
              <w:pStyle w:val="TableContents"/>
              <w:spacing w:after="0"/>
              <w:jc w:val="center"/>
              <w:rPr>
                <w:color w:val="000000"/>
                <w:szCs w:val="24"/>
              </w:rPr>
            </w:pPr>
            <w:r>
              <w:rPr>
                <w:color w:val="000000"/>
                <w:szCs w:val="24"/>
              </w:rPr>
              <w:t>Major</w:t>
            </w:r>
          </w:p>
        </w:tc>
        <w:tc>
          <w:tcPr>
            <w:tcW w:w="2070" w:type="dxa"/>
            <w:tcBorders>
              <w:bottom w:val="single" w:sz="4" w:space="0" w:color="auto"/>
            </w:tcBorders>
            <w:shd w:val="clear" w:color="auto" w:fill="FFFFFF"/>
            <w:vAlign w:val="center"/>
          </w:tcPr>
          <w:p w14:paraId="7EBD3FC5" w14:textId="77777777" w:rsidR="001D0E7B" w:rsidRDefault="001D0E7B" w:rsidP="00032492">
            <w:pPr>
              <w:pStyle w:val="TableContents"/>
              <w:spacing w:after="0"/>
              <w:jc w:val="center"/>
              <w:rPr>
                <w:color w:val="000000"/>
                <w:szCs w:val="24"/>
              </w:rPr>
            </w:pPr>
            <w:r>
              <w:rPr>
                <w:color w:val="000000"/>
                <w:szCs w:val="24"/>
              </w:rPr>
              <w:t>1 - 100</w:t>
            </w:r>
          </w:p>
          <w:p w14:paraId="3D446FF6" w14:textId="77777777" w:rsidR="001D0E7B" w:rsidRDefault="001D0E7B" w:rsidP="00032492">
            <w:pPr>
              <w:pStyle w:val="TableContents"/>
              <w:spacing w:after="0"/>
              <w:jc w:val="center"/>
              <w:rPr>
                <w:color w:val="000000"/>
                <w:szCs w:val="24"/>
              </w:rPr>
            </w:pPr>
            <w:r>
              <w:rPr>
                <w:color w:val="000000"/>
                <w:szCs w:val="24"/>
              </w:rPr>
              <w:t>(10000 - 1000000)</w:t>
            </w:r>
          </w:p>
        </w:tc>
        <w:tc>
          <w:tcPr>
            <w:tcW w:w="2790" w:type="dxa"/>
            <w:tcBorders>
              <w:bottom w:val="single" w:sz="4" w:space="0" w:color="auto"/>
            </w:tcBorders>
            <w:shd w:val="clear" w:color="auto" w:fill="FFFFFF"/>
            <w:vAlign w:val="center"/>
          </w:tcPr>
          <w:p w14:paraId="058812E7" w14:textId="77777777" w:rsidR="001D0E7B" w:rsidRDefault="001D0E7B" w:rsidP="00032492">
            <w:pPr>
              <w:pStyle w:val="TableContents"/>
              <w:spacing w:after="0"/>
              <w:jc w:val="center"/>
              <w:rPr>
                <w:color w:val="000000"/>
                <w:szCs w:val="24"/>
              </w:rPr>
            </w:pPr>
            <w:proofErr w:type="spellStart"/>
            <w:r>
              <w:rPr>
                <w:color w:val="000000"/>
                <w:szCs w:val="24"/>
              </w:rPr>
              <w:t>Titrimetry</w:t>
            </w:r>
            <w:proofErr w:type="spellEnd"/>
            <w:r>
              <w:rPr>
                <w:color w:val="000000"/>
                <w:szCs w:val="24"/>
              </w:rPr>
              <w:t xml:space="preserve">, </w:t>
            </w:r>
            <w:proofErr w:type="spellStart"/>
            <w:r>
              <w:rPr>
                <w:color w:val="000000"/>
                <w:szCs w:val="24"/>
              </w:rPr>
              <w:t>Gravimetry</w:t>
            </w:r>
            <w:proofErr w:type="spellEnd"/>
          </w:p>
        </w:tc>
        <w:tc>
          <w:tcPr>
            <w:tcW w:w="2610" w:type="dxa"/>
            <w:tcBorders>
              <w:bottom w:val="single" w:sz="4" w:space="0" w:color="auto"/>
              <w:right w:val="single" w:sz="2" w:space="0" w:color="000000"/>
            </w:tcBorders>
            <w:shd w:val="clear" w:color="auto" w:fill="FFFFFF"/>
            <w:vAlign w:val="center"/>
          </w:tcPr>
          <w:p w14:paraId="5049D5EC" w14:textId="77777777" w:rsidR="001D0E7B" w:rsidRDefault="001D0E7B" w:rsidP="00032492">
            <w:pPr>
              <w:pStyle w:val="TableContents"/>
              <w:spacing w:after="0"/>
              <w:jc w:val="center"/>
              <w:rPr>
                <w:color w:val="000000"/>
                <w:szCs w:val="24"/>
              </w:rPr>
            </w:pPr>
            <w:r>
              <w:rPr>
                <w:color w:val="000000"/>
                <w:szCs w:val="24"/>
              </w:rPr>
              <w:t>25</w:t>
            </w:r>
            <w:r w:rsidR="00F82321">
              <w:rPr>
                <w:color w:val="000000"/>
                <w:szCs w:val="24"/>
              </w:rPr>
              <w:t>0</w:t>
            </w:r>
            <w:r>
              <w:rPr>
                <w:color w:val="000000"/>
                <w:szCs w:val="24"/>
              </w:rPr>
              <w:t xml:space="preserve"> </w:t>
            </w:r>
            <w:r w:rsidR="00F82321">
              <w:rPr>
                <w:color w:val="000000"/>
                <w:szCs w:val="24"/>
              </w:rPr>
              <w:t>–</w:t>
            </w:r>
            <w:r>
              <w:rPr>
                <w:color w:val="000000"/>
                <w:szCs w:val="24"/>
              </w:rPr>
              <w:t xml:space="preserve"> 2500</w:t>
            </w:r>
            <w:r w:rsidR="00F82321">
              <w:rPr>
                <w:color w:val="000000"/>
                <w:szCs w:val="24"/>
              </w:rPr>
              <w:t>0</w:t>
            </w:r>
          </w:p>
        </w:tc>
      </w:tr>
      <w:tr w:rsidR="001D0E7B" w14:paraId="32BB084E" w14:textId="77777777" w:rsidTr="00032492">
        <w:trPr>
          <w:trHeight w:val="674"/>
        </w:trPr>
        <w:tc>
          <w:tcPr>
            <w:tcW w:w="1530" w:type="dxa"/>
            <w:tcBorders>
              <w:top w:val="single" w:sz="4" w:space="0" w:color="auto"/>
              <w:left w:val="single" w:sz="2" w:space="0" w:color="000000"/>
              <w:bottom w:val="single" w:sz="4" w:space="0" w:color="auto"/>
            </w:tcBorders>
            <w:shd w:val="clear" w:color="auto" w:fill="FFFFFF"/>
            <w:vAlign w:val="center"/>
          </w:tcPr>
          <w:p w14:paraId="1E122E29" w14:textId="77777777" w:rsidR="001D0E7B" w:rsidRDefault="001D0E7B" w:rsidP="00032492">
            <w:pPr>
              <w:pStyle w:val="TableContents"/>
              <w:spacing w:after="0"/>
              <w:jc w:val="center"/>
              <w:rPr>
                <w:color w:val="000000"/>
                <w:szCs w:val="24"/>
              </w:rPr>
            </w:pPr>
            <w:r>
              <w:rPr>
                <w:color w:val="000000"/>
                <w:szCs w:val="24"/>
              </w:rPr>
              <w:t>Minor</w:t>
            </w:r>
          </w:p>
        </w:tc>
        <w:tc>
          <w:tcPr>
            <w:tcW w:w="2070" w:type="dxa"/>
            <w:tcBorders>
              <w:top w:val="single" w:sz="4" w:space="0" w:color="auto"/>
              <w:bottom w:val="single" w:sz="4" w:space="0" w:color="auto"/>
            </w:tcBorders>
            <w:shd w:val="clear" w:color="auto" w:fill="FFFFFF"/>
            <w:vAlign w:val="center"/>
          </w:tcPr>
          <w:p w14:paraId="3A818DC6" w14:textId="77777777" w:rsidR="001D0E7B" w:rsidRDefault="001D0E7B" w:rsidP="00032492">
            <w:pPr>
              <w:pStyle w:val="TableContents"/>
              <w:spacing w:after="0"/>
              <w:jc w:val="center"/>
              <w:rPr>
                <w:color w:val="000000"/>
                <w:szCs w:val="24"/>
              </w:rPr>
            </w:pPr>
            <w:r>
              <w:rPr>
                <w:color w:val="000000"/>
                <w:szCs w:val="24"/>
              </w:rPr>
              <w:t xml:space="preserve">0.01 – 1.00 </w:t>
            </w:r>
          </w:p>
          <w:p w14:paraId="1728A539" w14:textId="77777777" w:rsidR="001D0E7B" w:rsidRDefault="001D0E7B" w:rsidP="00032492">
            <w:pPr>
              <w:pStyle w:val="TableContents"/>
              <w:spacing w:after="0"/>
              <w:jc w:val="center"/>
              <w:rPr>
                <w:color w:val="000000"/>
                <w:szCs w:val="24"/>
              </w:rPr>
            </w:pPr>
            <w:r>
              <w:rPr>
                <w:color w:val="000000"/>
                <w:szCs w:val="24"/>
              </w:rPr>
              <w:t>(100 - 10000)</w:t>
            </w:r>
          </w:p>
        </w:tc>
        <w:tc>
          <w:tcPr>
            <w:tcW w:w="2790" w:type="dxa"/>
            <w:tcBorders>
              <w:top w:val="single" w:sz="4" w:space="0" w:color="auto"/>
              <w:bottom w:val="single" w:sz="4" w:space="0" w:color="auto"/>
            </w:tcBorders>
            <w:shd w:val="clear" w:color="auto" w:fill="FFFFFF"/>
            <w:vAlign w:val="center"/>
          </w:tcPr>
          <w:p w14:paraId="0D572957" w14:textId="77777777" w:rsidR="001D0E7B" w:rsidRDefault="001D0E7B" w:rsidP="00032492">
            <w:pPr>
              <w:pStyle w:val="TableContents"/>
              <w:spacing w:after="0"/>
              <w:jc w:val="center"/>
              <w:rPr>
                <w:color w:val="000000"/>
                <w:szCs w:val="24"/>
              </w:rPr>
            </w:pPr>
            <w:proofErr w:type="spellStart"/>
            <w:r>
              <w:rPr>
                <w:color w:val="000000"/>
                <w:szCs w:val="24"/>
              </w:rPr>
              <w:t>Titrimetry</w:t>
            </w:r>
            <w:proofErr w:type="spellEnd"/>
            <w:r>
              <w:rPr>
                <w:color w:val="000000"/>
                <w:szCs w:val="24"/>
              </w:rPr>
              <w:t xml:space="preserve">, </w:t>
            </w:r>
            <w:proofErr w:type="spellStart"/>
            <w:r>
              <w:rPr>
                <w:color w:val="000000"/>
                <w:szCs w:val="24"/>
              </w:rPr>
              <w:t>Potentiometry</w:t>
            </w:r>
            <w:proofErr w:type="spellEnd"/>
            <w:r>
              <w:rPr>
                <w:color w:val="000000"/>
                <w:szCs w:val="24"/>
              </w:rPr>
              <w:t xml:space="preserve">, Spectroscopy </w:t>
            </w:r>
          </w:p>
        </w:tc>
        <w:tc>
          <w:tcPr>
            <w:tcW w:w="2610" w:type="dxa"/>
            <w:tcBorders>
              <w:top w:val="single" w:sz="4" w:space="0" w:color="auto"/>
              <w:bottom w:val="single" w:sz="4" w:space="0" w:color="auto"/>
              <w:right w:val="single" w:sz="2" w:space="0" w:color="000000"/>
            </w:tcBorders>
            <w:shd w:val="clear" w:color="auto" w:fill="FFFFFF"/>
            <w:vAlign w:val="center"/>
          </w:tcPr>
          <w:p w14:paraId="63D9B9D5" w14:textId="77777777" w:rsidR="001D0E7B" w:rsidRDefault="001D0E7B" w:rsidP="00032492">
            <w:pPr>
              <w:pStyle w:val="TableContents"/>
              <w:spacing w:after="0"/>
              <w:jc w:val="center"/>
              <w:rPr>
                <w:color w:val="000000"/>
                <w:szCs w:val="24"/>
              </w:rPr>
            </w:pPr>
            <w:r>
              <w:rPr>
                <w:color w:val="000000"/>
                <w:szCs w:val="24"/>
              </w:rPr>
              <w:t>2</w:t>
            </w:r>
            <w:r w:rsidR="00F82321">
              <w:rPr>
                <w:color w:val="000000"/>
                <w:szCs w:val="24"/>
              </w:rPr>
              <w:t>.</w:t>
            </w:r>
            <w:r>
              <w:rPr>
                <w:color w:val="000000"/>
                <w:szCs w:val="24"/>
              </w:rPr>
              <w:t>5 – 25</w:t>
            </w:r>
            <w:r w:rsidR="00F82321">
              <w:rPr>
                <w:color w:val="000000"/>
                <w:szCs w:val="24"/>
              </w:rPr>
              <w:t>0</w:t>
            </w:r>
          </w:p>
        </w:tc>
      </w:tr>
      <w:tr w:rsidR="001D0E7B" w14:paraId="0DB814C1" w14:textId="77777777" w:rsidTr="00032492">
        <w:trPr>
          <w:trHeight w:val="674"/>
        </w:trPr>
        <w:tc>
          <w:tcPr>
            <w:tcW w:w="1530" w:type="dxa"/>
            <w:tcBorders>
              <w:top w:val="single" w:sz="4" w:space="0" w:color="auto"/>
              <w:left w:val="single" w:sz="2" w:space="0" w:color="000000"/>
              <w:bottom w:val="single" w:sz="4" w:space="0" w:color="auto"/>
            </w:tcBorders>
            <w:shd w:val="clear" w:color="auto" w:fill="FFFFFF"/>
            <w:vAlign w:val="center"/>
          </w:tcPr>
          <w:p w14:paraId="4C3A6FB4" w14:textId="77777777" w:rsidR="001D0E7B" w:rsidRDefault="001D0E7B" w:rsidP="00032492">
            <w:pPr>
              <w:pStyle w:val="TableContents"/>
              <w:spacing w:after="0"/>
              <w:jc w:val="center"/>
              <w:rPr>
                <w:color w:val="000000"/>
                <w:szCs w:val="24"/>
              </w:rPr>
            </w:pPr>
            <w:r>
              <w:rPr>
                <w:color w:val="000000"/>
                <w:szCs w:val="24"/>
              </w:rPr>
              <w:t>Trace</w:t>
            </w:r>
          </w:p>
        </w:tc>
        <w:tc>
          <w:tcPr>
            <w:tcW w:w="2070" w:type="dxa"/>
            <w:tcBorders>
              <w:top w:val="single" w:sz="4" w:space="0" w:color="auto"/>
              <w:bottom w:val="single" w:sz="4" w:space="0" w:color="auto"/>
            </w:tcBorders>
            <w:shd w:val="clear" w:color="auto" w:fill="FFFFFF"/>
          </w:tcPr>
          <w:p w14:paraId="78DC1E49" w14:textId="77777777" w:rsidR="001D0E7B" w:rsidRDefault="001D0E7B" w:rsidP="00032492">
            <w:pPr>
              <w:pStyle w:val="TableContents"/>
              <w:snapToGrid w:val="0"/>
              <w:spacing w:after="0"/>
              <w:jc w:val="center"/>
              <w:rPr>
                <w:color w:val="000000"/>
                <w:szCs w:val="24"/>
              </w:rPr>
            </w:pPr>
            <w:r>
              <w:rPr>
                <w:color w:val="000000"/>
                <w:szCs w:val="24"/>
              </w:rPr>
              <w:t>1 x 10</w:t>
            </w:r>
            <w:r>
              <w:rPr>
                <w:color w:val="000000"/>
                <w:szCs w:val="24"/>
                <w:vertAlign w:val="superscript"/>
              </w:rPr>
              <w:t>-7</w:t>
            </w:r>
            <w:r>
              <w:rPr>
                <w:color w:val="000000"/>
                <w:szCs w:val="24"/>
              </w:rPr>
              <w:t xml:space="preserve"> – 0.01</w:t>
            </w:r>
          </w:p>
          <w:p w14:paraId="2F82C4D1" w14:textId="77777777" w:rsidR="001D0E7B" w:rsidRDefault="001D0E7B" w:rsidP="00032492">
            <w:pPr>
              <w:pStyle w:val="TableContents"/>
              <w:snapToGrid w:val="0"/>
              <w:spacing w:after="0"/>
              <w:jc w:val="center"/>
              <w:rPr>
                <w:color w:val="000000"/>
                <w:szCs w:val="24"/>
              </w:rPr>
            </w:pPr>
            <w:r>
              <w:rPr>
                <w:color w:val="000000"/>
                <w:szCs w:val="24"/>
              </w:rPr>
              <w:t>(10 ppb – 100 ppm)</w:t>
            </w:r>
          </w:p>
        </w:tc>
        <w:tc>
          <w:tcPr>
            <w:tcW w:w="2790" w:type="dxa"/>
            <w:tcBorders>
              <w:top w:val="single" w:sz="4" w:space="0" w:color="auto"/>
              <w:bottom w:val="single" w:sz="4" w:space="0" w:color="auto"/>
            </w:tcBorders>
            <w:shd w:val="clear" w:color="auto" w:fill="FFFFFF"/>
            <w:vAlign w:val="center"/>
          </w:tcPr>
          <w:p w14:paraId="46C547CA" w14:textId="77777777" w:rsidR="001D0E7B" w:rsidRDefault="001D0E7B" w:rsidP="00032492">
            <w:pPr>
              <w:pStyle w:val="TableContents"/>
              <w:snapToGrid w:val="0"/>
              <w:spacing w:after="0"/>
              <w:jc w:val="center"/>
              <w:rPr>
                <w:color w:val="000000"/>
                <w:szCs w:val="24"/>
              </w:rPr>
            </w:pPr>
            <w:proofErr w:type="spellStart"/>
            <w:r>
              <w:rPr>
                <w:color w:val="000000"/>
                <w:szCs w:val="24"/>
              </w:rPr>
              <w:t>Potentiometry</w:t>
            </w:r>
            <w:proofErr w:type="spellEnd"/>
            <w:r>
              <w:rPr>
                <w:color w:val="000000"/>
                <w:szCs w:val="24"/>
              </w:rPr>
              <w:t xml:space="preserve"> (to low ppm) Spectroscopy (entire range)</w:t>
            </w:r>
          </w:p>
        </w:tc>
        <w:tc>
          <w:tcPr>
            <w:tcW w:w="2610" w:type="dxa"/>
            <w:tcBorders>
              <w:top w:val="single" w:sz="4" w:space="0" w:color="auto"/>
              <w:bottom w:val="single" w:sz="4" w:space="0" w:color="auto"/>
              <w:right w:val="single" w:sz="2" w:space="0" w:color="000000"/>
            </w:tcBorders>
            <w:shd w:val="clear" w:color="auto" w:fill="FFFFFF"/>
            <w:vAlign w:val="center"/>
          </w:tcPr>
          <w:p w14:paraId="195FDD43" w14:textId="77777777" w:rsidR="001D0E7B" w:rsidRPr="00DE4C6A" w:rsidRDefault="00F82321" w:rsidP="00F82321">
            <w:pPr>
              <w:pStyle w:val="TableContents"/>
              <w:snapToGrid w:val="0"/>
              <w:spacing w:after="0"/>
              <w:jc w:val="center"/>
              <w:rPr>
                <w:color w:val="000000"/>
                <w:szCs w:val="24"/>
              </w:rPr>
            </w:pPr>
            <w:r>
              <w:rPr>
                <w:color w:val="000000"/>
                <w:szCs w:val="24"/>
              </w:rPr>
              <w:t>0.00025</w:t>
            </w:r>
            <w:r w:rsidR="001D0E7B">
              <w:rPr>
                <w:color w:val="000000"/>
                <w:szCs w:val="24"/>
              </w:rPr>
              <w:t xml:space="preserve"> –2</w:t>
            </w:r>
            <w:r>
              <w:rPr>
                <w:color w:val="000000"/>
                <w:szCs w:val="24"/>
              </w:rPr>
              <w:t>.</w:t>
            </w:r>
            <w:r w:rsidR="001D0E7B">
              <w:rPr>
                <w:color w:val="000000"/>
                <w:szCs w:val="24"/>
              </w:rPr>
              <w:t>5</w:t>
            </w:r>
          </w:p>
        </w:tc>
      </w:tr>
    </w:tbl>
    <w:p w14:paraId="6A00F98A" w14:textId="77777777" w:rsidR="001D0E7B" w:rsidRDefault="001D0E7B" w:rsidP="001D0E7B"/>
    <w:p w14:paraId="427223A3" w14:textId="77777777" w:rsidR="00032492" w:rsidRDefault="00032492" w:rsidP="001D0E7B">
      <w:r>
        <w:t xml:space="preserve">If the analyst has an idea of the concentration </w:t>
      </w:r>
      <w:r w:rsidR="00295956">
        <w:t xml:space="preserve">of </w:t>
      </w:r>
      <w:r>
        <w:t xml:space="preserve">a given </w:t>
      </w:r>
      <w:proofErr w:type="spellStart"/>
      <w:r>
        <w:t>analyte</w:t>
      </w:r>
      <w:proofErr w:type="spellEnd"/>
      <w:r>
        <w:t xml:space="preserve">, then appropriate analytical methods can be suggested and analytical procedures </w:t>
      </w:r>
      <w:r w:rsidR="0098207A">
        <w:t xml:space="preserve">can be developed </w:t>
      </w:r>
      <w:r>
        <w:t xml:space="preserve">for the determination </w:t>
      </w:r>
      <w:r w:rsidR="0098207A">
        <w:t xml:space="preserve">of that </w:t>
      </w:r>
      <w:proofErr w:type="spellStart"/>
      <w:r w:rsidR="0098207A">
        <w:t>analyte</w:t>
      </w:r>
      <w:proofErr w:type="spellEnd"/>
      <w:r>
        <w:t xml:space="preserve">. Because this project is focused on the determination of inorganic constituents in Lithia water, students should complete the questions in the </w:t>
      </w:r>
      <w:hyperlink w:anchor="_/Major_Inorganic_Constituents" w:history="1">
        <w:r w:rsidRPr="00295956">
          <w:rPr>
            <w:rStyle w:val="Hyperlink"/>
          </w:rPr>
          <w:t>Major Inorganic Constituents</w:t>
        </w:r>
      </w:hyperlink>
      <w:r>
        <w:t xml:space="preserve">, </w:t>
      </w:r>
      <w:hyperlink w:anchor="_Origins_of_Lithia" w:history="1">
        <w:r w:rsidRPr="00295956">
          <w:rPr>
            <w:rStyle w:val="Hyperlink"/>
          </w:rPr>
          <w:t>Origins of Lithia Water</w:t>
        </w:r>
      </w:hyperlink>
      <w:r>
        <w:t xml:space="preserve">, and </w:t>
      </w:r>
      <w:hyperlink w:anchor="_Sample_Handling_&amp;" w:history="1">
        <w:r w:rsidRPr="00295956">
          <w:rPr>
            <w:rStyle w:val="Hyperlink"/>
          </w:rPr>
          <w:t>Sample Handling and Treatment</w:t>
        </w:r>
      </w:hyperlink>
      <w:r>
        <w:t xml:space="preserve"> sections in this module. The questions of interest in the Sample Handling and Treatment section of this module requires students to refer to another</w:t>
      </w:r>
      <w:bookmarkStart w:id="0" w:name="_GoBack"/>
      <w:bookmarkEnd w:id="0"/>
      <w:r>
        <w:t xml:space="preserve"> module entitled </w:t>
      </w:r>
      <w:hyperlink r:id="rId9" w:history="1">
        <w:r w:rsidRPr="00295956">
          <w:rPr>
            <w:rStyle w:val="Hyperlink"/>
          </w:rPr>
          <w:t>Chemical Equilibria &amp; Sample Preparation</w:t>
        </w:r>
      </w:hyperlink>
      <w:r>
        <w:t>.</w:t>
      </w:r>
    </w:p>
    <w:p w14:paraId="2FCDEB66" w14:textId="77777777" w:rsidR="00AE069C" w:rsidRDefault="00AE069C">
      <w:pPr>
        <w:suppressAutoHyphens w:val="0"/>
      </w:pPr>
      <w:r>
        <w:br w:type="page"/>
      </w:r>
    </w:p>
    <w:p w14:paraId="09CC70F7" w14:textId="77777777" w:rsidR="00963B3D" w:rsidRPr="00963B3D" w:rsidRDefault="000A1245" w:rsidP="00963B3D">
      <w:pPr>
        <w:pStyle w:val="Heading1"/>
        <w:rPr>
          <w:i/>
        </w:rPr>
      </w:pPr>
      <w:bookmarkStart w:id="1" w:name="_/Major_Inorganic_Constituents"/>
      <w:bookmarkEnd w:id="1"/>
      <w:r>
        <w:rPr>
          <w:i/>
          <w:noProof/>
          <w:lang w:eastAsia="en-US"/>
        </w:rPr>
        <w:lastRenderedPageBreak/>
        <w:drawing>
          <wp:anchor distT="0" distB="0" distL="114935" distR="114935" simplePos="0" relativeHeight="251663360" behindDoc="1" locked="0" layoutInCell="1" allowOverlap="1" wp14:anchorId="12854EC6" wp14:editId="1F2BCAFD">
            <wp:simplePos x="0" y="0"/>
            <wp:positionH relativeFrom="column">
              <wp:posOffset>2795905</wp:posOffset>
            </wp:positionH>
            <wp:positionV relativeFrom="paragraph">
              <wp:posOffset>107950</wp:posOffset>
            </wp:positionV>
            <wp:extent cx="2976245" cy="2900045"/>
            <wp:effectExtent l="19050" t="0" r="0" b="0"/>
            <wp:wrapTight wrapText="bothSides">
              <wp:wrapPolygon edited="0">
                <wp:start x="-138" y="0"/>
                <wp:lineTo x="-138" y="21425"/>
                <wp:lineTo x="21568" y="21425"/>
                <wp:lineTo x="21568" y="0"/>
                <wp:lineTo x="-138"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2976245" cy="2900045"/>
                    </a:xfrm>
                    <a:prstGeom prst="rect">
                      <a:avLst/>
                    </a:prstGeom>
                    <a:solidFill>
                      <a:srgbClr val="FFFFFF"/>
                    </a:solidFill>
                    <a:ln w="9525">
                      <a:noFill/>
                      <a:miter lim="800000"/>
                      <a:headEnd/>
                      <a:tailEnd/>
                    </a:ln>
                  </pic:spPr>
                </pic:pic>
              </a:graphicData>
            </a:graphic>
          </wp:anchor>
        </w:drawing>
      </w:r>
      <w:r w:rsidR="00963B3D" w:rsidRPr="00963B3D">
        <w:rPr>
          <w:i/>
        </w:rPr>
        <w:t>Major Inorganic Constituents</w:t>
      </w:r>
    </w:p>
    <w:p w14:paraId="03165D18" w14:textId="77777777" w:rsidR="00963B3D" w:rsidRDefault="00963B3D" w:rsidP="00963B3D">
      <w:pPr>
        <w:rPr>
          <w:b/>
          <w:i/>
          <w:szCs w:val="24"/>
        </w:rPr>
      </w:pPr>
      <w:r>
        <w:rPr>
          <w:b/>
          <w:i/>
          <w:szCs w:val="24"/>
        </w:rPr>
        <w:t>Purpose:</w:t>
      </w:r>
      <w:r>
        <w:rPr>
          <w:szCs w:val="24"/>
        </w:rPr>
        <w:t xml:space="preserve"> The purpose of this section is to understand the various ways of expressing solute concentrations in a solution. </w:t>
      </w:r>
    </w:p>
    <w:p w14:paraId="0BFE1F63" w14:textId="77777777" w:rsidR="00963B3D" w:rsidRDefault="00963B3D" w:rsidP="00963B3D">
      <w:pPr>
        <w:rPr>
          <w:szCs w:val="24"/>
        </w:rPr>
      </w:pPr>
      <w:r>
        <w:rPr>
          <w:b/>
          <w:i/>
          <w:szCs w:val="24"/>
        </w:rPr>
        <w:t>Learning Objectives:</w:t>
      </w:r>
      <w:r>
        <w:rPr>
          <w:szCs w:val="24"/>
        </w:rPr>
        <w:t xml:space="preserve"> Upon completion of this assignment, students will be able to:</w:t>
      </w:r>
    </w:p>
    <w:p w14:paraId="2F06DF40" w14:textId="77777777" w:rsidR="00963B3D" w:rsidRDefault="00963B3D" w:rsidP="00963B3D">
      <w:pPr>
        <w:pStyle w:val="ListParagraph"/>
        <w:numPr>
          <w:ilvl w:val="0"/>
          <w:numId w:val="8"/>
        </w:numPr>
        <w:rPr>
          <w:szCs w:val="24"/>
        </w:rPr>
      </w:pPr>
      <w:r>
        <w:rPr>
          <w:szCs w:val="24"/>
        </w:rPr>
        <w:t>Use the stoichiometric composition of compounds to convert between mass/volume concentrations and molar solute concentrations</w:t>
      </w:r>
    </w:p>
    <w:p w14:paraId="35AF7342" w14:textId="77777777" w:rsidR="00963B3D" w:rsidRDefault="001371EC" w:rsidP="00963B3D">
      <w:pPr>
        <w:pStyle w:val="ListParagraph"/>
        <w:numPr>
          <w:ilvl w:val="0"/>
          <w:numId w:val="8"/>
        </w:numPr>
        <w:rPr>
          <w:szCs w:val="24"/>
        </w:rPr>
      </w:pPr>
      <w:r>
        <w:rPr>
          <w:noProof/>
          <w:lang w:eastAsia="en-US"/>
        </w:rPr>
        <w:pict w14:anchorId="6E170334">
          <v:shape id="Text Box 4" o:spid="_x0000_s1027" type="#_x0000_t202" style="position:absolute;left:0;text-align:left;margin-left:220.2pt;margin-top:49.5pt;width:234.55pt;height:39.3pt;z-index:251665408;visibility:visible" wrapcoords="-69 0 -69 21185 21600 21185 21600 0 -6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" stroked="f">
            <v:textbox style="mso-fit-shape-to-text:t" inset="0,0,0,0">
              <w:txbxContent>
                <w:p w14:paraId="7D8957C0" w14:textId="77777777" w:rsidR="00CC37F6" w:rsidRPr="008950A0" w:rsidRDefault="00CC37F6" w:rsidP="008950A0">
                  <w:pPr>
                    <w:pStyle w:val="Caption"/>
                    <w:rPr>
                      <w:b w:val="0"/>
                      <w:noProof/>
                      <w:color w:val="auto"/>
                      <w:szCs w:val="24"/>
                    </w:rPr>
                  </w:pPr>
                  <w:proofErr w:type="gramStart"/>
                  <w:r w:rsidRPr="008950A0">
                    <w:rPr>
                      <w:b w:val="0"/>
                      <w:color w:val="auto"/>
                      <w:szCs w:val="24"/>
                    </w:rPr>
                    <w:t xml:space="preserve">Figure </w:t>
                  </w:r>
                  <w:r w:rsidR="00067DCB" w:rsidRPr="008950A0">
                    <w:rPr>
                      <w:b w:val="0"/>
                      <w:color w:val="auto"/>
                      <w:szCs w:val="24"/>
                    </w:rPr>
                    <w:fldChar w:fldCharType="begin"/>
                  </w:r>
                  <w:r w:rsidRPr="008950A0">
                    <w:rPr>
                      <w:b w:val="0"/>
                      <w:color w:val="auto"/>
                      <w:szCs w:val="24"/>
                    </w:rPr>
                    <w:instrText xml:space="preserve"> SEQ Figure \* ARABIC </w:instrText>
                  </w:r>
                  <w:r w:rsidR="00067DCB" w:rsidRPr="008950A0">
                    <w:rPr>
                      <w:b w:val="0"/>
                      <w:color w:val="auto"/>
                      <w:szCs w:val="24"/>
                    </w:rPr>
                    <w:fldChar w:fldCharType="separate"/>
                  </w:r>
                  <w:r>
                    <w:rPr>
                      <w:b w:val="0"/>
                      <w:noProof/>
                      <w:color w:val="auto"/>
                      <w:szCs w:val="24"/>
                    </w:rPr>
                    <w:t>2</w:t>
                  </w:r>
                  <w:r w:rsidR="00067DCB" w:rsidRPr="008950A0">
                    <w:rPr>
                      <w:b w:val="0"/>
                      <w:color w:val="auto"/>
                      <w:szCs w:val="24"/>
                    </w:rPr>
                    <w:fldChar w:fldCharType="end"/>
                  </w:r>
                  <w:r w:rsidRPr="008950A0">
                    <w:rPr>
                      <w:b w:val="0"/>
                      <w:color w:val="auto"/>
                      <w:szCs w:val="24"/>
                    </w:rPr>
                    <w:t>.</w:t>
                  </w:r>
                  <w:proofErr w:type="gramEnd"/>
                  <w:r w:rsidRPr="008950A0">
                    <w:rPr>
                      <w:b w:val="0"/>
                      <w:color w:val="auto"/>
                      <w:szCs w:val="24"/>
                    </w:rPr>
                    <w:t xml:space="preserve"> Plaque representing a 1915 analysis of Lithia water from Ashland, OR</w:t>
                  </w:r>
                </w:p>
              </w:txbxContent>
            </v:textbox>
            <w10:wrap type="tight"/>
          </v:shape>
        </w:pict>
      </w:r>
      <w:r w:rsidR="00963B3D">
        <w:rPr>
          <w:szCs w:val="24"/>
        </w:rPr>
        <w:t xml:space="preserve">Identify appropriate analytical techniques for the determination of inorganic </w:t>
      </w:r>
      <w:proofErr w:type="spellStart"/>
      <w:r w:rsidR="00963B3D">
        <w:rPr>
          <w:szCs w:val="24"/>
        </w:rPr>
        <w:t>analytes</w:t>
      </w:r>
      <w:proofErr w:type="spellEnd"/>
      <w:r w:rsidR="00963B3D">
        <w:rPr>
          <w:szCs w:val="24"/>
        </w:rPr>
        <w:t xml:space="preserve"> in Lithia water based on </w:t>
      </w:r>
      <w:proofErr w:type="spellStart"/>
      <w:r w:rsidR="00963B3D">
        <w:rPr>
          <w:szCs w:val="24"/>
        </w:rPr>
        <w:t>analyte</w:t>
      </w:r>
      <w:proofErr w:type="spellEnd"/>
      <w:r w:rsidR="00963B3D">
        <w:rPr>
          <w:szCs w:val="24"/>
        </w:rPr>
        <w:t xml:space="preserve"> concentration</w:t>
      </w:r>
    </w:p>
    <w:p w14:paraId="26E56D7A" w14:textId="77777777" w:rsidR="00963B3D" w:rsidRDefault="00963B3D" w:rsidP="00963B3D">
      <w:pPr>
        <w:rPr>
          <w:szCs w:val="24"/>
        </w:rPr>
      </w:pPr>
    </w:p>
    <w:p w14:paraId="4AA5AFD8" w14:textId="77777777" w:rsidR="00963B3D" w:rsidRDefault="00963B3D" w:rsidP="00963B3D">
      <w:pPr>
        <w:rPr>
          <w:szCs w:val="24"/>
        </w:rPr>
      </w:pPr>
      <w:r>
        <w:rPr>
          <w:szCs w:val="24"/>
        </w:rPr>
        <w:t xml:space="preserve">The plaque </w:t>
      </w:r>
      <w:r w:rsidR="00867462">
        <w:rPr>
          <w:szCs w:val="24"/>
        </w:rPr>
        <w:t>in Figure 2</w:t>
      </w:r>
      <w:r>
        <w:rPr>
          <w:szCs w:val="24"/>
        </w:rPr>
        <w:t xml:space="preserve"> contains the results of a historic analysis of inorganic compounds from one of Ashland’s Lithia water springs. Notice that the concentration of each inorganic constituent is expressed as a salt or combination of salts. If the composition of the Lithia water is stable over time, one can estimate the concentration for each </w:t>
      </w:r>
      <w:proofErr w:type="spellStart"/>
      <w:r>
        <w:rPr>
          <w:szCs w:val="24"/>
        </w:rPr>
        <w:t>cation</w:t>
      </w:r>
      <w:proofErr w:type="spellEnd"/>
      <w:r>
        <w:rPr>
          <w:szCs w:val="24"/>
        </w:rPr>
        <w:t xml:space="preserve"> and anion in Lithia water prior to working in the laboratory. </w:t>
      </w:r>
    </w:p>
    <w:p w14:paraId="5157D918" w14:textId="77777777" w:rsidR="00963B3D" w:rsidRDefault="00963B3D" w:rsidP="00963B3D">
      <w:pPr>
        <w:rPr>
          <w:b/>
          <w:szCs w:val="24"/>
        </w:rPr>
      </w:pPr>
      <w:r>
        <w:rPr>
          <w:szCs w:val="24"/>
        </w:rPr>
        <w:t>For the questions below, assume that the soluble form of silica solely exists as the silicate ion (SiO</w:t>
      </w:r>
      <w:r>
        <w:rPr>
          <w:szCs w:val="24"/>
          <w:vertAlign w:val="subscript"/>
        </w:rPr>
        <w:t>3</w:t>
      </w:r>
      <w:r>
        <w:rPr>
          <w:szCs w:val="24"/>
          <w:vertAlign w:val="superscript"/>
        </w:rPr>
        <w:t>2-</w:t>
      </w:r>
      <w:r>
        <w:rPr>
          <w:szCs w:val="24"/>
        </w:rPr>
        <w:t>).</w:t>
      </w:r>
    </w:p>
    <w:p w14:paraId="32304F94" w14:textId="77777777" w:rsidR="00963B3D" w:rsidRDefault="00963B3D" w:rsidP="00963B3D">
      <w:pPr>
        <w:rPr>
          <w:b/>
          <w:szCs w:val="24"/>
        </w:rPr>
      </w:pPr>
      <w:r>
        <w:rPr>
          <w:b/>
          <w:szCs w:val="24"/>
        </w:rPr>
        <w:t>Q1.</w:t>
      </w:r>
      <w:r>
        <w:rPr>
          <w:szCs w:val="24"/>
        </w:rPr>
        <w:t xml:space="preserve"> Which </w:t>
      </w:r>
      <w:proofErr w:type="spellStart"/>
      <w:r>
        <w:rPr>
          <w:szCs w:val="24"/>
        </w:rPr>
        <w:t>cations</w:t>
      </w:r>
      <w:proofErr w:type="spellEnd"/>
      <w:r>
        <w:rPr>
          <w:szCs w:val="24"/>
        </w:rPr>
        <w:t xml:space="preserve"> and anions are represented by a single salt and which are represented by multiple salts?</w:t>
      </w:r>
    </w:p>
    <w:p w14:paraId="02699CCA" w14:textId="77777777" w:rsidR="00963B3D" w:rsidRDefault="00963B3D" w:rsidP="00963B3D">
      <w:pPr>
        <w:rPr>
          <w:b/>
          <w:szCs w:val="24"/>
        </w:rPr>
      </w:pPr>
      <w:r>
        <w:rPr>
          <w:b/>
          <w:szCs w:val="24"/>
        </w:rPr>
        <w:t>Q2.</w:t>
      </w:r>
      <w:r>
        <w:rPr>
          <w:szCs w:val="24"/>
        </w:rPr>
        <w:t xml:space="preserve"> Of those </w:t>
      </w:r>
      <w:proofErr w:type="spellStart"/>
      <w:r>
        <w:rPr>
          <w:szCs w:val="24"/>
        </w:rPr>
        <w:t>analytes</w:t>
      </w:r>
      <w:proofErr w:type="spellEnd"/>
      <w:r>
        <w:rPr>
          <w:szCs w:val="24"/>
        </w:rPr>
        <w:t xml:space="preserve"> listed on the plaque, are there any </w:t>
      </w:r>
      <w:proofErr w:type="spellStart"/>
      <w:r>
        <w:rPr>
          <w:szCs w:val="24"/>
        </w:rPr>
        <w:t>cation</w:t>
      </w:r>
      <w:proofErr w:type="spellEnd"/>
      <w:r>
        <w:rPr>
          <w:szCs w:val="24"/>
        </w:rPr>
        <w:t xml:space="preserve"> or anion concentrations that are unknowns based on the information provided? How can you tell?</w:t>
      </w:r>
    </w:p>
    <w:p w14:paraId="28B09174" w14:textId="77777777" w:rsidR="00963B3D" w:rsidRDefault="00963B3D" w:rsidP="00963B3D">
      <w:pPr>
        <w:rPr>
          <w:b/>
          <w:szCs w:val="24"/>
        </w:rPr>
      </w:pPr>
      <w:r>
        <w:rPr>
          <w:b/>
          <w:szCs w:val="24"/>
        </w:rPr>
        <w:t>Q3.</w:t>
      </w:r>
      <w:r>
        <w:rPr>
          <w:szCs w:val="24"/>
        </w:rPr>
        <w:t xml:space="preserve"> Based on the analysis engraved on the plaque above, how would you calculate the concentration of each ion represented by a single salt? Complete these calculations, and express the solute concentration in milligrams per liter (mg L</w:t>
      </w:r>
      <w:r>
        <w:rPr>
          <w:szCs w:val="24"/>
          <w:vertAlign w:val="superscript"/>
        </w:rPr>
        <w:t>-1</w:t>
      </w:r>
      <w:r>
        <w:rPr>
          <w:szCs w:val="24"/>
        </w:rPr>
        <w:t>) and in moles per liter (M).</w:t>
      </w:r>
    </w:p>
    <w:p w14:paraId="18C8DF18" w14:textId="77777777" w:rsidR="00963B3D" w:rsidRDefault="00963B3D" w:rsidP="00963B3D">
      <w:pPr>
        <w:rPr>
          <w:b/>
          <w:szCs w:val="24"/>
        </w:rPr>
      </w:pPr>
      <w:r>
        <w:rPr>
          <w:b/>
          <w:szCs w:val="24"/>
        </w:rPr>
        <w:t>Q4.</w:t>
      </w:r>
      <w:r>
        <w:rPr>
          <w:szCs w:val="24"/>
        </w:rPr>
        <w:t xml:space="preserve"> How does your approach to calculating ion concentrations represented by multiple salts differ from expressing ion concentrations represented by a single salt? Complete these calculations, and express the solute concentration in milligrams per liter (mg L</w:t>
      </w:r>
      <w:r>
        <w:rPr>
          <w:szCs w:val="24"/>
          <w:vertAlign w:val="superscript"/>
        </w:rPr>
        <w:t>-1</w:t>
      </w:r>
      <w:r>
        <w:rPr>
          <w:szCs w:val="24"/>
        </w:rPr>
        <w:t>) and in moles per liter (M).</w:t>
      </w:r>
    </w:p>
    <w:p w14:paraId="6D235EED" w14:textId="77777777" w:rsidR="00963B3D" w:rsidRDefault="00963B3D" w:rsidP="00963B3D">
      <w:pPr>
        <w:rPr>
          <w:b/>
          <w:szCs w:val="24"/>
        </w:rPr>
      </w:pPr>
      <w:r>
        <w:rPr>
          <w:b/>
          <w:szCs w:val="24"/>
        </w:rPr>
        <w:lastRenderedPageBreak/>
        <w:t xml:space="preserve">Q5. </w:t>
      </w:r>
      <w:r>
        <w:rPr>
          <w:szCs w:val="24"/>
        </w:rPr>
        <w:t xml:space="preserve">Determine the number of milligrams of each </w:t>
      </w:r>
      <w:proofErr w:type="spellStart"/>
      <w:r>
        <w:rPr>
          <w:szCs w:val="24"/>
        </w:rPr>
        <w:t>analyte</w:t>
      </w:r>
      <w:proofErr w:type="spellEnd"/>
      <w:r>
        <w:rPr>
          <w:szCs w:val="24"/>
        </w:rPr>
        <w:t xml:space="preserve"> present in 25.00 mL of Lithia water from the 1915 analysis, assuming that the composition of Lithia water has not changed since 1915. Using these </w:t>
      </w:r>
      <w:proofErr w:type="spellStart"/>
      <w:r w:rsidR="004377AB">
        <w:rPr>
          <w:szCs w:val="24"/>
        </w:rPr>
        <w:t>analyte</w:t>
      </w:r>
      <w:proofErr w:type="spellEnd"/>
      <w:r w:rsidR="004377AB">
        <w:rPr>
          <w:szCs w:val="24"/>
        </w:rPr>
        <w:t xml:space="preserve"> </w:t>
      </w:r>
      <w:r>
        <w:rPr>
          <w:szCs w:val="24"/>
        </w:rPr>
        <w:t xml:space="preserve">quantities, determine appropriate analytical </w:t>
      </w:r>
      <w:r w:rsidR="00146406">
        <w:rPr>
          <w:szCs w:val="24"/>
        </w:rPr>
        <w:t>technique</w:t>
      </w:r>
      <w:r>
        <w:rPr>
          <w:szCs w:val="24"/>
        </w:rPr>
        <w:t>s based on the classification scheme in Table 1.</w:t>
      </w:r>
    </w:p>
    <w:p w14:paraId="00FDA7AF" w14:textId="77777777" w:rsidR="00F95B70" w:rsidRPr="00041550" w:rsidRDefault="00F95B70" w:rsidP="0069054C">
      <w:pPr>
        <w:rPr>
          <w:szCs w:val="24"/>
        </w:rPr>
      </w:pPr>
      <w:r>
        <w:rPr>
          <w:b/>
          <w:szCs w:val="24"/>
        </w:rPr>
        <w:t>Q6.</w:t>
      </w:r>
      <w:r>
        <w:rPr>
          <w:szCs w:val="24"/>
        </w:rPr>
        <w:t xml:space="preserve"> </w:t>
      </w:r>
      <w:r w:rsidR="00146406">
        <w:rPr>
          <w:szCs w:val="24"/>
        </w:rPr>
        <w:t xml:space="preserve">Once the appropriate analytical technique(s) for each </w:t>
      </w:r>
      <w:proofErr w:type="spellStart"/>
      <w:r w:rsidR="00146406">
        <w:rPr>
          <w:szCs w:val="24"/>
        </w:rPr>
        <w:t>analyte</w:t>
      </w:r>
      <w:proofErr w:type="spellEnd"/>
      <w:r w:rsidR="00146406">
        <w:rPr>
          <w:szCs w:val="24"/>
        </w:rPr>
        <w:t xml:space="preserve"> have been identified based on the classification scheme in Table 1, </w:t>
      </w:r>
      <w:r w:rsidR="004377AB">
        <w:rPr>
          <w:szCs w:val="24"/>
        </w:rPr>
        <w:t xml:space="preserve">consider, </w:t>
      </w:r>
      <w:r w:rsidR="00146406">
        <w:rPr>
          <w:szCs w:val="24"/>
        </w:rPr>
        <w:t>discuss</w:t>
      </w:r>
      <w:r w:rsidR="000202E5">
        <w:rPr>
          <w:szCs w:val="24"/>
        </w:rPr>
        <w:t xml:space="preserve">, </w:t>
      </w:r>
      <w:r w:rsidR="00146406">
        <w:rPr>
          <w:szCs w:val="24"/>
        </w:rPr>
        <w:t>and identify additional criteria</w:t>
      </w:r>
      <w:r w:rsidR="000202E5">
        <w:rPr>
          <w:szCs w:val="24"/>
        </w:rPr>
        <w:t xml:space="preserve"> that would be important in the selection of an appropriate method for each </w:t>
      </w:r>
      <w:proofErr w:type="spellStart"/>
      <w:r w:rsidR="000202E5">
        <w:rPr>
          <w:szCs w:val="24"/>
        </w:rPr>
        <w:t>analyte</w:t>
      </w:r>
      <w:proofErr w:type="spellEnd"/>
      <w:r w:rsidR="007E216A">
        <w:rPr>
          <w:szCs w:val="24"/>
        </w:rPr>
        <w:t xml:space="preserve"> in Lithia water</w:t>
      </w:r>
      <w:r w:rsidR="000202E5">
        <w:rPr>
          <w:szCs w:val="24"/>
        </w:rPr>
        <w:t xml:space="preserve">. </w:t>
      </w:r>
      <w:r w:rsidR="007E216A">
        <w:rPr>
          <w:szCs w:val="24"/>
        </w:rPr>
        <w:t xml:space="preserve">An appropriate starting point for this discussion would be to read Chapter 3D in </w:t>
      </w:r>
      <w:r w:rsidR="007E216A">
        <w:rPr>
          <w:i/>
          <w:szCs w:val="24"/>
        </w:rPr>
        <w:t>Analytical Chemistry 2.0</w:t>
      </w:r>
      <w:r w:rsidR="007E216A">
        <w:rPr>
          <w:szCs w:val="24"/>
        </w:rPr>
        <w:t xml:space="preserve">. </w:t>
      </w:r>
    </w:p>
    <w:p w14:paraId="1E16822C" w14:textId="77777777" w:rsidR="00F95B70" w:rsidRPr="00F95B70" w:rsidRDefault="00F95B70" w:rsidP="00F95B70">
      <w:pPr>
        <w:rPr>
          <w:szCs w:val="24"/>
        </w:rPr>
      </w:pPr>
      <w:r w:rsidRPr="00F95B70">
        <w:rPr>
          <w:b/>
          <w:szCs w:val="24"/>
        </w:rPr>
        <w:t>Q</w:t>
      </w:r>
      <w:r>
        <w:rPr>
          <w:b/>
          <w:szCs w:val="24"/>
        </w:rPr>
        <w:t>7</w:t>
      </w:r>
      <w:r w:rsidRPr="00F95B70">
        <w:rPr>
          <w:b/>
          <w:szCs w:val="24"/>
        </w:rPr>
        <w:t>.</w:t>
      </w:r>
      <w:r w:rsidRPr="00F95B70">
        <w:rPr>
          <w:szCs w:val="24"/>
        </w:rPr>
        <w:t xml:space="preserve"> Lithium carbonate is </w:t>
      </w:r>
      <w:r w:rsidR="004377AB">
        <w:rPr>
          <w:szCs w:val="24"/>
        </w:rPr>
        <w:t>often</w:t>
      </w:r>
      <w:r w:rsidR="004377AB" w:rsidRPr="00F95B70">
        <w:rPr>
          <w:szCs w:val="24"/>
        </w:rPr>
        <w:t xml:space="preserve"> </w:t>
      </w:r>
      <w:r w:rsidRPr="00F95B70">
        <w:rPr>
          <w:szCs w:val="24"/>
        </w:rPr>
        <w:t>prescribed to control manic depression. A typical dosage is 900 mg day</w:t>
      </w:r>
      <w:r w:rsidRPr="00F95B70">
        <w:rPr>
          <w:szCs w:val="24"/>
          <w:vertAlign w:val="superscript"/>
        </w:rPr>
        <w:t>-1</w:t>
      </w:r>
      <w:r w:rsidRPr="00F95B70">
        <w:rPr>
          <w:szCs w:val="24"/>
        </w:rPr>
        <w:t xml:space="preserve"> of lithium carbonate. How many liters of Lithia water would someone have to drink to ingest lithium </w:t>
      </w:r>
      <w:r w:rsidR="004377AB">
        <w:rPr>
          <w:szCs w:val="24"/>
        </w:rPr>
        <w:t xml:space="preserve">equivalent to </w:t>
      </w:r>
      <w:r w:rsidRPr="00F95B70">
        <w:rPr>
          <w:szCs w:val="24"/>
        </w:rPr>
        <w:t xml:space="preserve">a prescribed dose of lithium carbonate? Based on </w:t>
      </w:r>
      <w:r w:rsidR="004377AB">
        <w:rPr>
          <w:szCs w:val="24"/>
        </w:rPr>
        <w:t xml:space="preserve">the </w:t>
      </w:r>
      <w:r w:rsidRPr="00F95B70">
        <w:rPr>
          <w:szCs w:val="24"/>
        </w:rPr>
        <w:t xml:space="preserve">volume of Lithia water </w:t>
      </w:r>
      <w:r w:rsidR="004377AB">
        <w:rPr>
          <w:szCs w:val="24"/>
        </w:rPr>
        <w:t xml:space="preserve">you calculated </w:t>
      </w:r>
      <w:r w:rsidRPr="00F95B70">
        <w:rPr>
          <w:szCs w:val="24"/>
        </w:rPr>
        <w:t xml:space="preserve">in the previous question, </w:t>
      </w:r>
      <w:r w:rsidR="00226B00">
        <w:rPr>
          <w:szCs w:val="24"/>
        </w:rPr>
        <w:t xml:space="preserve">use any electronic or hard-copy resources to determine whether there </w:t>
      </w:r>
      <w:r w:rsidRPr="00F95B70">
        <w:rPr>
          <w:szCs w:val="24"/>
        </w:rPr>
        <w:t xml:space="preserve">are health related issues that could arise due to the </w:t>
      </w:r>
      <w:r w:rsidR="00226B00">
        <w:rPr>
          <w:szCs w:val="24"/>
        </w:rPr>
        <w:t>ingestion</w:t>
      </w:r>
      <w:r w:rsidR="00226B00" w:rsidRPr="00F95B70">
        <w:rPr>
          <w:szCs w:val="24"/>
        </w:rPr>
        <w:t xml:space="preserve"> </w:t>
      </w:r>
      <w:r w:rsidRPr="00F95B70">
        <w:rPr>
          <w:szCs w:val="24"/>
        </w:rPr>
        <w:t>of other ions</w:t>
      </w:r>
      <w:r w:rsidR="00226B00">
        <w:rPr>
          <w:szCs w:val="24"/>
        </w:rPr>
        <w:t xml:space="preserve"> present in Lithia water. </w:t>
      </w:r>
    </w:p>
    <w:p w14:paraId="608CA228" w14:textId="77777777" w:rsidR="000B5DA4" w:rsidRDefault="000B5DA4">
      <w:pPr>
        <w:suppressAutoHyphens w:val="0"/>
        <w:rPr>
          <w:rFonts w:eastAsia="Times New Roman" w:cs="Times New Roman"/>
          <w:b/>
          <w:bCs/>
          <w:szCs w:val="32"/>
        </w:rPr>
      </w:pPr>
      <w:r>
        <w:br w:type="page"/>
      </w:r>
    </w:p>
    <w:p w14:paraId="0E35CB83" w14:textId="77777777" w:rsidR="000A1245" w:rsidRPr="000A1245" w:rsidRDefault="000A1245" w:rsidP="000A1245">
      <w:pPr>
        <w:pStyle w:val="Heading1"/>
        <w:rPr>
          <w:i/>
        </w:rPr>
      </w:pPr>
      <w:bookmarkStart w:id="2" w:name="_Origins_of_Lithia"/>
      <w:bookmarkEnd w:id="2"/>
      <w:r w:rsidRPr="000A1245">
        <w:rPr>
          <w:i/>
        </w:rPr>
        <w:lastRenderedPageBreak/>
        <w:t>Origins of Lithia Water</w:t>
      </w:r>
    </w:p>
    <w:p w14:paraId="40CD1CD5" w14:textId="77777777" w:rsidR="000A1245" w:rsidRDefault="000A1245" w:rsidP="000A1245">
      <w:pPr>
        <w:rPr>
          <w:szCs w:val="24"/>
        </w:rPr>
      </w:pPr>
      <w:r>
        <w:rPr>
          <w:noProof/>
          <w:lang w:eastAsia="en-US"/>
        </w:rPr>
        <w:drawing>
          <wp:anchor distT="0" distB="0" distL="114935" distR="114935" simplePos="0" relativeHeight="251667456" behindDoc="0" locked="0" layoutInCell="1" allowOverlap="1" wp14:anchorId="03E2E40C" wp14:editId="3253411B">
            <wp:simplePos x="0" y="0"/>
            <wp:positionH relativeFrom="column">
              <wp:posOffset>2762250</wp:posOffset>
            </wp:positionH>
            <wp:positionV relativeFrom="paragraph">
              <wp:posOffset>61595</wp:posOffset>
            </wp:positionV>
            <wp:extent cx="3493770" cy="4660265"/>
            <wp:effectExtent l="19050" t="0" r="0" b="0"/>
            <wp:wrapSquare wrapText="bothSides"/>
            <wp:docPr id="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cstate="print"/>
                    <a:srcRect/>
                    <a:stretch>
                      <a:fillRect/>
                    </a:stretch>
                  </pic:blipFill>
                  <pic:spPr bwMode="auto">
                    <a:xfrm>
                      <a:off x="0" y="0"/>
                      <a:ext cx="3493770" cy="4660265"/>
                    </a:xfrm>
                    <a:prstGeom prst="rect">
                      <a:avLst/>
                    </a:prstGeom>
                    <a:solidFill>
                      <a:srgbClr val="FFFFFF"/>
                    </a:solidFill>
                    <a:ln w="9525">
                      <a:noFill/>
                      <a:miter lim="800000"/>
                      <a:headEnd/>
                      <a:tailEnd/>
                    </a:ln>
                  </pic:spPr>
                </pic:pic>
              </a:graphicData>
            </a:graphic>
          </wp:anchor>
        </w:drawing>
      </w:r>
      <w:r w:rsidR="001371EC">
        <w:rPr>
          <w:noProof/>
          <w:lang w:eastAsia="en-US"/>
        </w:rPr>
        <w:pict w14:anchorId="3EF56ABF">
          <v:shape id="Text Box 6" o:spid="_x0000_s1028" type="#_x0000_t202" style="position:absolute;margin-left:217.5pt;margin-top:374.95pt;width:275.6pt;height:39.3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" stroked="f">
            <v:textbox style="mso-fit-shape-to-text:t" inset="0,0,0,0">
              <w:txbxContent>
                <w:p w14:paraId="08A70541" w14:textId="77777777" w:rsidR="00CC37F6" w:rsidRPr="00585968" w:rsidRDefault="00CC37F6" w:rsidP="000A1245">
                  <w:pPr>
                    <w:pStyle w:val="Caption"/>
                    <w:rPr>
                      <w:b w:val="0"/>
                      <w:noProof/>
                      <w:color w:val="auto"/>
                    </w:rPr>
                  </w:pPr>
                  <w:proofErr w:type="gramStart"/>
                  <w:r w:rsidRPr="00585968">
                    <w:rPr>
                      <w:b w:val="0"/>
                      <w:color w:val="auto"/>
                    </w:rPr>
                    <w:t xml:space="preserve">Figure </w:t>
                  </w:r>
                  <w:r w:rsidR="00067DCB" w:rsidRPr="00585968">
                    <w:rPr>
                      <w:b w:val="0"/>
                      <w:color w:val="auto"/>
                    </w:rPr>
                    <w:fldChar w:fldCharType="begin"/>
                  </w:r>
                  <w:r w:rsidRPr="00585968">
                    <w:rPr>
                      <w:b w:val="0"/>
                      <w:color w:val="auto"/>
                    </w:rPr>
                    <w:instrText xml:space="preserve"> SEQ Figure \* ARABIC </w:instrText>
                  </w:r>
                  <w:r w:rsidR="00067DCB" w:rsidRPr="00585968">
                    <w:rPr>
                      <w:b w:val="0"/>
                      <w:color w:val="auto"/>
                    </w:rPr>
                    <w:fldChar w:fldCharType="separate"/>
                  </w:r>
                  <w:r w:rsidRPr="00585968">
                    <w:rPr>
                      <w:b w:val="0"/>
                      <w:noProof/>
                      <w:color w:val="auto"/>
                    </w:rPr>
                    <w:t>3</w:t>
                  </w:r>
                  <w:r w:rsidR="00067DCB" w:rsidRPr="00585968">
                    <w:rPr>
                      <w:b w:val="0"/>
                      <w:color w:val="auto"/>
                    </w:rPr>
                    <w:fldChar w:fldCharType="end"/>
                  </w:r>
                  <w:r w:rsidRPr="00585968">
                    <w:rPr>
                      <w:b w:val="0"/>
                      <w:color w:val="auto"/>
                    </w:rPr>
                    <w:t>.</w:t>
                  </w:r>
                  <w:proofErr w:type="gramEnd"/>
                  <w:r w:rsidRPr="00585968">
                    <w:rPr>
                      <w:b w:val="0"/>
                      <w:color w:val="auto"/>
                    </w:rPr>
                    <w:t xml:space="preserve"> </w:t>
                  </w:r>
                  <w:proofErr w:type="spellStart"/>
                  <w:r w:rsidRPr="00585968">
                    <w:rPr>
                      <w:b w:val="0"/>
                      <w:color w:val="auto"/>
                    </w:rPr>
                    <w:t>Pumphouse</w:t>
                  </w:r>
                  <w:proofErr w:type="spellEnd"/>
                  <w:r w:rsidRPr="00585968">
                    <w:rPr>
                      <w:b w:val="0"/>
                      <w:color w:val="auto"/>
                    </w:rPr>
                    <w:t xml:space="preserve"> used to pump Lithia water to downtown Ashland</w:t>
                  </w:r>
                </w:p>
              </w:txbxContent>
            </v:textbox>
            <w10:wrap type="square"/>
          </v:shape>
        </w:pict>
      </w:r>
      <w:r w:rsidR="004377AB">
        <w:rPr>
          <w:szCs w:val="24"/>
        </w:rPr>
        <w:t xml:space="preserve">The </w:t>
      </w:r>
      <w:r>
        <w:rPr>
          <w:szCs w:val="24"/>
        </w:rPr>
        <w:t xml:space="preserve">Lithia water that is pumped to downtown Ashland originates from a chain of soda water (carbonated) springs called Lithia Springs, which </w:t>
      </w:r>
      <w:r w:rsidR="004377AB">
        <w:rPr>
          <w:szCs w:val="24"/>
        </w:rPr>
        <w:t>are</w:t>
      </w:r>
      <w:r>
        <w:rPr>
          <w:szCs w:val="24"/>
        </w:rPr>
        <w:t xml:space="preserve"> three miles east of Ashland near Emigrant Creek Road. The </w:t>
      </w:r>
      <w:proofErr w:type="spellStart"/>
      <w:r>
        <w:rPr>
          <w:szCs w:val="24"/>
        </w:rPr>
        <w:t>pumphouse</w:t>
      </w:r>
      <w:proofErr w:type="spellEnd"/>
      <w:r>
        <w:rPr>
          <w:szCs w:val="24"/>
        </w:rPr>
        <w:t xml:space="preserve"> for the Lithia water that is pumped to Ashland is currently on a site maintained by the Ashland Gun Club. The ground surrounding the </w:t>
      </w:r>
      <w:proofErr w:type="spellStart"/>
      <w:r>
        <w:rPr>
          <w:szCs w:val="24"/>
        </w:rPr>
        <w:t>pumphouse</w:t>
      </w:r>
      <w:proofErr w:type="spellEnd"/>
      <w:r>
        <w:rPr>
          <w:szCs w:val="24"/>
        </w:rPr>
        <w:t xml:space="preserve"> for the soda water spring contains deposits of tufa, which is a porous and impure limestone deposit. Although limestone is not known to be present in the underlying rocks, carbon dioxide emissions are associated with volcanic activity, and </w:t>
      </w:r>
      <w:r w:rsidR="00BA164D">
        <w:rPr>
          <w:szCs w:val="24"/>
        </w:rPr>
        <w:t xml:space="preserve">the </w:t>
      </w:r>
      <w:r>
        <w:rPr>
          <w:szCs w:val="24"/>
        </w:rPr>
        <w:t>soda spring water may be moving through coal and volcanic bedrock to finally emerge at Lithia Springs.</w:t>
      </w:r>
      <w:r>
        <w:rPr>
          <w:szCs w:val="24"/>
          <w:vertAlign w:val="superscript"/>
        </w:rPr>
        <w:t>1</w:t>
      </w:r>
    </w:p>
    <w:p w14:paraId="17D7F2B8" w14:textId="77777777" w:rsidR="000A1245" w:rsidRDefault="000A1245" w:rsidP="000A1245">
      <w:pPr>
        <w:rPr>
          <w:b/>
          <w:szCs w:val="24"/>
        </w:rPr>
      </w:pPr>
      <w:r>
        <w:rPr>
          <w:szCs w:val="24"/>
        </w:rPr>
        <w:t>Lithia water has an acidic effervescence, and its taste is salty and bitter, much like Alka-Seltzer tablets. Freshly collected Lithia water also has a slight sulfurous odor and taste.</w:t>
      </w:r>
    </w:p>
    <w:p w14:paraId="5287406E" w14:textId="77777777" w:rsidR="000A1245" w:rsidRDefault="000A1245" w:rsidP="000A1245">
      <w:pPr>
        <w:rPr>
          <w:szCs w:val="24"/>
        </w:rPr>
      </w:pPr>
      <w:r>
        <w:rPr>
          <w:b/>
          <w:szCs w:val="24"/>
        </w:rPr>
        <w:t>References:</w:t>
      </w:r>
    </w:p>
    <w:p w14:paraId="29BF8FA8" w14:textId="77777777" w:rsidR="000A1245" w:rsidRDefault="000A1245" w:rsidP="000A1245">
      <w:pPr>
        <w:pStyle w:val="ListParagraph"/>
        <w:numPr>
          <w:ilvl w:val="0"/>
          <w:numId w:val="9"/>
        </w:numPr>
        <w:rPr>
          <w:b/>
          <w:szCs w:val="24"/>
        </w:rPr>
      </w:pPr>
      <w:r>
        <w:rPr>
          <w:szCs w:val="24"/>
        </w:rPr>
        <w:t xml:space="preserve">Wagner, N. S. Natural Sources of Carbon Dioxide in Oregon. </w:t>
      </w:r>
      <w:r>
        <w:rPr>
          <w:i/>
          <w:szCs w:val="24"/>
        </w:rPr>
        <w:t>Oregon Geology</w:t>
      </w:r>
      <w:r w:rsidR="00ED651A">
        <w:rPr>
          <w:i/>
          <w:szCs w:val="24"/>
        </w:rPr>
        <w:t xml:space="preserve"> </w:t>
      </w:r>
      <w:r>
        <w:rPr>
          <w:b/>
          <w:szCs w:val="24"/>
        </w:rPr>
        <w:t>1959</w:t>
      </w:r>
      <w:r>
        <w:rPr>
          <w:szCs w:val="24"/>
        </w:rPr>
        <w:t xml:space="preserve">, </w:t>
      </w:r>
      <w:r>
        <w:rPr>
          <w:i/>
          <w:szCs w:val="24"/>
        </w:rPr>
        <w:t>21</w:t>
      </w:r>
      <w:r>
        <w:rPr>
          <w:szCs w:val="24"/>
        </w:rPr>
        <w:t>, 103-113.</w:t>
      </w:r>
    </w:p>
    <w:p w14:paraId="34F6F5C0" w14:textId="77777777" w:rsidR="000A1245" w:rsidRDefault="000A1245" w:rsidP="000A1245">
      <w:pPr>
        <w:rPr>
          <w:szCs w:val="24"/>
        </w:rPr>
      </w:pPr>
      <w:r>
        <w:rPr>
          <w:b/>
          <w:szCs w:val="24"/>
        </w:rPr>
        <w:t>Questions:</w:t>
      </w:r>
    </w:p>
    <w:p w14:paraId="013E98CD" w14:textId="77777777" w:rsidR="000A1245" w:rsidRPr="003017FF" w:rsidRDefault="000A1245" w:rsidP="000A1245">
      <w:pPr>
        <w:rPr>
          <w:szCs w:val="24"/>
        </w:rPr>
      </w:pPr>
      <w:r>
        <w:rPr>
          <w:b/>
          <w:szCs w:val="24"/>
        </w:rPr>
        <w:t>Q8.</w:t>
      </w:r>
      <w:r>
        <w:rPr>
          <w:b/>
          <w:szCs w:val="24"/>
        </w:rPr>
        <w:tab/>
      </w:r>
      <w:r w:rsidRPr="003017FF">
        <w:rPr>
          <w:szCs w:val="24"/>
        </w:rPr>
        <w:t xml:space="preserve">If the Lithia spring water was to leach ions from limestone deposits to form soda springs, what primary </w:t>
      </w:r>
      <w:proofErr w:type="spellStart"/>
      <w:r w:rsidRPr="003017FF">
        <w:rPr>
          <w:szCs w:val="24"/>
        </w:rPr>
        <w:t>cations</w:t>
      </w:r>
      <w:proofErr w:type="spellEnd"/>
      <w:r w:rsidRPr="003017FF">
        <w:rPr>
          <w:szCs w:val="24"/>
        </w:rPr>
        <w:t xml:space="preserve"> and anions would </w:t>
      </w:r>
      <w:r w:rsidR="00BA164D">
        <w:rPr>
          <w:szCs w:val="24"/>
        </w:rPr>
        <w:t xml:space="preserve">you expect to </w:t>
      </w:r>
      <w:r w:rsidRPr="003017FF">
        <w:rPr>
          <w:szCs w:val="24"/>
        </w:rPr>
        <w:t>have dissolved in the spring water due to such leaching action?</w:t>
      </w:r>
    </w:p>
    <w:p w14:paraId="59789FFA" w14:textId="77777777" w:rsidR="000A1245" w:rsidRPr="003017FF" w:rsidRDefault="000A1245" w:rsidP="000A1245">
      <w:pPr>
        <w:rPr>
          <w:szCs w:val="24"/>
        </w:rPr>
      </w:pPr>
      <w:r>
        <w:rPr>
          <w:b/>
          <w:szCs w:val="24"/>
        </w:rPr>
        <w:t>Q9.</w:t>
      </w:r>
      <w:r w:rsidRPr="003017FF">
        <w:rPr>
          <w:szCs w:val="24"/>
        </w:rPr>
        <w:tab/>
        <w:t>Soda springs are characterized by significant levels of CO</w:t>
      </w:r>
      <w:r w:rsidRPr="003017FF">
        <w:rPr>
          <w:szCs w:val="24"/>
          <w:vertAlign w:val="subscript"/>
        </w:rPr>
        <w:t>2</w:t>
      </w:r>
      <w:r w:rsidRPr="003017FF">
        <w:rPr>
          <w:szCs w:val="24"/>
        </w:rPr>
        <w:t xml:space="preserve">. </w:t>
      </w:r>
      <w:r w:rsidR="00587967">
        <w:rPr>
          <w:szCs w:val="24"/>
        </w:rPr>
        <w:t>If the pH</w:t>
      </w:r>
      <w:r w:rsidRPr="003017FF">
        <w:rPr>
          <w:szCs w:val="24"/>
        </w:rPr>
        <w:t xml:space="preserve"> of a recently obtained sample of Lithia water</w:t>
      </w:r>
      <w:r w:rsidR="00587967">
        <w:rPr>
          <w:szCs w:val="24"/>
        </w:rPr>
        <w:t xml:space="preserve"> is 6.4,</w:t>
      </w:r>
      <w:r w:rsidR="00587967" w:rsidRPr="003017FF">
        <w:rPr>
          <w:szCs w:val="24"/>
        </w:rPr>
        <w:t xml:space="preserve"> </w:t>
      </w:r>
      <w:r w:rsidR="00587967">
        <w:rPr>
          <w:szCs w:val="24"/>
        </w:rPr>
        <w:t>d</w:t>
      </w:r>
      <w:r w:rsidR="00587967" w:rsidRPr="003017FF">
        <w:rPr>
          <w:szCs w:val="24"/>
        </w:rPr>
        <w:t xml:space="preserve">raw </w:t>
      </w:r>
      <w:r w:rsidRPr="003017FF">
        <w:rPr>
          <w:szCs w:val="24"/>
        </w:rPr>
        <w:t xml:space="preserve">a ladder diagram for carbonic acid, and predict the predominant form of carbonic acid in </w:t>
      </w:r>
      <w:r w:rsidR="00587967">
        <w:rPr>
          <w:szCs w:val="24"/>
        </w:rPr>
        <w:t xml:space="preserve">this sample of </w:t>
      </w:r>
      <w:r w:rsidRPr="003017FF">
        <w:rPr>
          <w:szCs w:val="24"/>
        </w:rPr>
        <w:t>Lithia water</w:t>
      </w:r>
      <w:r w:rsidR="00587967">
        <w:rPr>
          <w:szCs w:val="24"/>
        </w:rPr>
        <w:t>.</w:t>
      </w:r>
    </w:p>
    <w:p w14:paraId="039E19CF" w14:textId="77777777" w:rsidR="001D0E7B" w:rsidRPr="00295956" w:rsidRDefault="001D0E7B" w:rsidP="00295956">
      <w:pPr>
        <w:pStyle w:val="Heading1"/>
        <w:rPr>
          <w:i/>
        </w:rPr>
      </w:pPr>
      <w:bookmarkStart w:id="3" w:name="_Sample_Handling_&amp;"/>
      <w:bookmarkEnd w:id="3"/>
      <w:r w:rsidRPr="00295956">
        <w:rPr>
          <w:i/>
        </w:rPr>
        <w:lastRenderedPageBreak/>
        <w:t>Sample Handling &amp; Treatment</w:t>
      </w:r>
    </w:p>
    <w:p w14:paraId="6350CCED" w14:textId="77777777" w:rsidR="001D0E7B" w:rsidRDefault="001D0E7B" w:rsidP="001D0E7B">
      <w:pPr>
        <w:rPr>
          <w:szCs w:val="24"/>
        </w:rPr>
      </w:pPr>
      <w:r>
        <w:rPr>
          <w:szCs w:val="24"/>
        </w:rPr>
        <w:t xml:space="preserve">Sometimes, freshly obtained samples need to be immediately treated with a reagent prior to chemical analysis in order to minimize changes in </w:t>
      </w:r>
      <w:proofErr w:type="spellStart"/>
      <w:r>
        <w:rPr>
          <w:szCs w:val="24"/>
        </w:rPr>
        <w:t>analyte</w:t>
      </w:r>
      <w:proofErr w:type="spellEnd"/>
      <w:r>
        <w:rPr>
          <w:szCs w:val="24"/>
        </w:rPr>
        <w:t xml:space="preserve"> concentration during sample storage. Long-term changes in </w:t>
      </w:r>
      <w:proofErr w:type="spellStart"/>
      <w:r>
        <w:rPr>
          <w:szCs w:val="24"/>
        </w:rPr>
        <w:t>analyte</w:t>
      </w:r>
      <w:proofErr w:type="spellEnd"/>
      <w:r>
        <w:rPr>
          <w:szCs w:val="24"/>
        </w:rPr>
        <w:t xml:space="preserve"> concentration may be due to physical considerations such as evaporation, but short-term changes in </w:t>
      </w:r>
      <w:proofErr w:type="spellStart"/>
      <w:r>
        <w:rPr>
          <w:szCs w:val="24"/>
        </w:rPr>
        <w:t>analyte</w:t>
      </w:r>
      <w:proofErr w:type="spellEnd"/>
      <w:r>
        <w:rPr>
          <w:szCs w:val="24"/>
        </w:rPr>
        <w:t xml:space="preserve"> concentration are often a result of a chemical reaction. Oxidation-reduction reactions change th</w:t>
      </w:r>
      <w:r w:rsidR="00C87554">
        <w:rPr>
          <w:szCs w:val="24"/>
        </w:rPr>
        <w:t xml:space="preserve">e oxidation state of an </w:t>
      </w:r>
      <w:proofErr w:type="spellStart"/>
      <w:r w:rsidR="00C87554">
        <w:rPr>
          <w:szCs w:val="24"/>
        </w:rPr>
        <w:t>analyte</w:t>
      </w:r>
      <w:proofErr w:type="spellEnd"/>
      <w:r w:rsidR="00C87554">
        <w:rPr>
          <w:szCs w:val="24"/>
        </w:rPr>
        <w:t>, and</w:t>
      </w:r>
      <w:r w:rsidR="003423FC">
        <w:rPr>
          <w:szCs w:val="24"/>
        </w:rPr>
        <w:t xml:space="preserve"> </w:t>
      </w:r>
      <w:r>
        <w:rPr>
          <w:szCs w:val="24"/>
        </w:rPr>
        <w:t xml:space="preserve">can lead to a decrease in the concentration of an </w:t>
      </w:r>
      <w:proofErr w:type="spellStart"/>
      <w:r>
        <w:rPr>
          <w:szCs w:val="24"/>
        </w:rPr>
        <w:t>analyte</w:t>
      </w:r>
      <w:proofErr w:type="spellEnd"/>
      <w:r>
        <w:rPr>
          <w:szCs w:val="24"/>
        </w:rPr>
        <w:t xml:space="preserve"> via precipitation of less soluble compounds.</w:t>
      </w:r>
    </w:p>
    <w:p w14:paraId="2DD278D0" w14:textId="77777777" w:rsidR="001D0E7B" w:rsidRDefault="000A1245" w:rsidP="001D0E7B">
      <w:pPr>
        <w:rPr>
          <w:szCs w:val="24"/>
        </w:rPr>
      </w:pPr>
      <w:r>
        <w:rPr>
          <w:b/>
          <w:szCs w:val="24"/>
        </w:rPr>
        <w:t>Q10</w:t>
      </w:r>
      <w:r w:rsidR="001D0E7B">
        <w:rPr>
          <w:b/>
          <w:szCs w:val="24"/>
        </w:rPr>
        <w:t>.</w:t>
      </w:r>
      <w:r w:rsidR="001D0E7B">
        <w:rPr>
          <w:szCs w:val="24"/>
        </w:rPr>
        <w:tab/>
        <w:t xml:space="preserve"> Answer </w:t>
      </w:r>
      <w:r w:rsidR="001D0E7B">
        <w:rPr>
          <w:b/>
          <w:szCs w:val="24"/>
        </w:rPr>
        <w:t>Q1 – Q</w:t>
      </w:r>
      <w:r w:rsidR="0089147C">
        <w:rPr>
          <w:b/>
          <w:szCs w:val="24"/>
        </w:rPr>
        <w:t>1</w:t>
      </w:r>
      <w:r w:rsidR="00E95A79">
        <w:rPr>
          <w:b/>
          <w:szCs w:val="24"/>
        </w:rPr>
        <w:t>3</w:t>
      </w:r>
      <w:r w:rsidR="001D0E7B">
        <w:rPr>
          <w:szCs w:val="24"/>
        </w:rPr>
        <w:t xml:space="preserve"> in the </w:t>
      </w:r>
      <w:r w:rsidR="0089147C">
        <w:rPr>
          <w:szCs w:val="24"/>
        </w:rPr>
        <w:t xml:space="preserve">Chemical Equilibria and </w:t>
      </w:r>
      <w:r w:rsidR="001D0E7B">
        <w:rPr>
          <w:szCs w:val="24"/>
        </w:rPr>
        <w:t xml:space="preserve">Sample Preparation </w:t>
      </w:r>
      <w:r w:rsidR="003423FC">
        <w:rPr>
          <w:szCs w:val="24"/>
        </w:rPr>
        <w:t xml:space="preserve">document </w:t>
      </w:r>
      <w:r w:rsidR="001D0E7B">
        <w:rPr>
          <w:szCs w:val="24"/>
        </w:rPr>
        <w:t xml:space="preserve">of the Lithia </w:t>
      </w:r>
      <w:r w:rsidR="003423FC">
        <w:rPr>
          <w:szCs w:val="24"/>
        </w:rPr>
        <w:t>water module</w:t>
      </w:r>
      <w:r w:rsidR="001D0E7B">
        <w:rPr>
          <w:szCs w:val="24"/>
        </w:rPr>
        <w:t>. After completing these questions, go online to the U.S. Environmental Protection Agency website (</w:t>
      </w:r>
      <w:hyperlink r:id="rId12" w:history="1">
        <w:r w:rsidR="001D0E7B" w:rsidRPr="001E3945">
          <w:rPr>
            <w:rStyle w:val="Hyperlink"/>
            <w:szCs w:val="24"/>
          </w:rPr>
          <w:t>www.epa.gov</w:t>
        </w:r>
      </w:hyperlink>
      <w:r w:rsidR="001D0E7B">
        <w:rPr>
          <w:szCs w:val="24"/>
        </w:rPr>
        <w:t xml:space="preserve">) and search for documentation regarding the preservation </w:t>
      </w:r>
      <w:r w:rsidR="0089147C">
        <w:rPr>
          <w:szCs w:val="24"/>
        </w:rPr>
        <w:t xml:space="preserve">of </w:t>
      </w:r>
      <w:r w:rsidR="001D0E7B">
        <w:rPr>
          <w:szCs w:val="24"/>
        </w:rPr>
        <w:t xml:space="preserve">inorganic </w:t>
      </w:r>
      <w:proofErr w:type="spellStart"/>
      <w:r w:rsidR="001D0E7B">
        <w:rPr>
          <w:szCs w:val="24"/>
        </w:rPr>
        <w:t>analytes</w:t>
      </w:r>
      <w:proofErr w:type="spellEnd"/>
      <w:r w:rsidR="001D0E7B">
        <w:rPr>
          <w:szCs w:val="24"/>
        </w:rPr>
        <w:t xml:space="preserve"> in water samples.</w:t>
      </w:r>
    </w:p>
    <w:p w14:paraId="7E719FCC" w14:textId="77777777" w:rsidR="001D0E7B" w:rsidRDefault="001D0E7B" w:rsidP="001D0E7B">
      <w:pPr>
        <w:rPr>
          <w:szCs w:val="24"/>
        </w:rPr>
      </w:pPr>
      <w:r>
        <w:rPr>
          <w:b/>
          <w:szCs w:val="24"/>
        </w:rPr>
        <w:t>Q</w:t>
      </w:r>
      <w:r w:rsidR="000A1245">
        <w:rPr>
          <w:b/>
          <w:szCs w:val="24"/>
        </w:rPr>
        <w:t>11</w:t>
      </w:r>
      <w:r>
        <w:rPr>
          <w:b/>
          <w:szCs w:val="24"/>
        </w:rPr>
        <w:t>.</w:t>
      </w:r>
      <w:r>
        <w:rPr>
          <w:szCs w:val="24"/>
        </w:rPr>
        <w:tab/>
        <w:t>Based on your search results on the U.S. EPA website</w:t>
      </w:r>
      <w:r w:rsidR="0089147C">
        <w:rPr>
          <w:szCs w:val="24"/>
        </w:rPr>
        <w:t xml:space="preserve"> and your answer to question 1</w:t>
      </w:r>
      <w:r w:rsidR="00E95A79">
        <w:rPr>
          <w:szCs w:val="24"/>
        </w:rPr>
        <w:t>3</w:t>
      </w:r>
      <w:r w:rsidR="0089147C">
        <w:rPr>
          <w:szCs w:val="24"/>
        </w:rPr>
        <w:t xml:space="preserve"> in the Chemical Equilibria and Sample Preparation </w:t>
      </w:r>
      <w:r w:rsidR="00F310BE">
        <w:rPr>
          <w:szCs w:val="24"/>
        </w:rPr>
        <w:t>document</w:t>
      </w:r>
      <w:r>
        <w:rPr>
          <w:szCs w:val="24"/>
        </w:rPr>
        <w:t xml:space="preserve">, develop a sampling plan for Lithia water so that all significant </w:t>
      </w:r>
      <w:proofErr w:type="spellStart"/>
      <w:r>
        <w:rPr>
          <w:szCs w:val="24"/>
        </w:rPr>
        <w:t>analytes</w:t>
      </w:r>
      <w:proofErr w:type="spellEnd"/>
      <w:r>
        <w:rPr>
          <w:szCs w:val="24"/>
        </w:rPr>
        <w:t xml:space="preserve"> can be determined.  </w:t>
      </w:r>
    </w:p>
    <w:p w14:paraId="680C45F3" w14:textId="77777777" w:rsidR="00664628" w:rsidRDefault="000A2F62" w:rsidP="00F310BE">
      <w:r>
        <w:rPr>
          <w:b/>
          <w:szCs w:val="24"/>
        </w:rPr>
        <w:t>Activity 1.</w:t>
      </w:r>
      <w:r w:rsidR="003423FC">
        <w:rPr>
          <w:b/>
          <w:szCs w:val="24"/>
        </w:rPr>
        <w:t xml:space="preserve"> </w:t>
      </w:r>
      <w:r>
        <w:rPr>
          <w:szCs w:val="24"/>
        </w:rPr>
        <w:t xml:space="preserve">At this point, if you </w:t>
      </w:r>
      <w:proofErr w:type="gramStart"/>
      <w:r>
        <w:rPr>
          <w:szCs w:val="24"/>
        </w:rPr>
        <w:t>are</w:t>
      </w:r>
      <w:proofErr w:type="gramEnd"/>
      <w:r>
        <w:rPr>
          <w:szCs w:val="24"/>
        </w:rPr>
        <w:t xml:space="preserve"> going to have your students analyze some of the constituents of </w:t>
      </w:r>
      <w:r w:rsidR="00CB1C35">
        <w:rPr>
          <w:szCs w:val="24"/>
        </w:rPr>
        <w:t>a</w:t>
      </w:r>
      <w:r w:rsidR="003423FC">
        <w:rPr>
          <w:szCs w:val="24"/>
        </w:rPr>
        <w:t xml:space="preserve"> </w:t>
      </w:r>
      <w:r>
        <w:rPr>
          <w:szCs w:val="24"/>
        </w:rPr>
        <w:t>local water</w:t>
      </w:r>
      <w:r w:rsidR="000E2209">
        <w:rPr>
          <w:szCs w:val="24"/>
        </w:rPr>
        <w:t xml:space="preserve"> source,</w:t>
      </w:r>
      <w:r>
        <w:rPr>
          <w:szCs w:val="24"/>
        </w:rPr>
        <w:t xml:space="preserve"> it would be an appropriate time to have them collect the samples.</w:t>
      </w:r>
      <w:r w:rsidR="000E2209">
        <w:rPr>
          <w:szCs w:val="24"/>
        </w:rPr>
        <w:t xml:space="preserve"> If</w:t>
      </w:r>
      <w:r>
        <w:rPr>
          <w:szCs w:val="24"/>
        </w:rPr>
        <w:t xml:space="preserve"> </w:t>
      </w:r>
      <w:r w:rsidR="000E2209">
        <w:rPr>
          <w:szCs w:val="24"/>
        </w:rPr>
        <w:t xml:space="preserve">students are interested in investigating changes in sample appearance upon standing, students </w:t>
      </w:r>
      <w:r w:rsidR="00CB1C35">
        <w:rPr>
          <w:szCs w:val="24"/>
        </w:rPr>
        <w:t>should o</w:t>
      </w:r>
      <w:r>
        <w:rPr>
          <w:szCs w:val="24"/>
        </w:rPr>
        <w:t xml:space="preserve">btain a small, clean Nalgene bottle (60 – </w:t>
      </w:r>
      <w:r w:rsidR="000E2209">
        <w:rPr>
          <w:szCs w:val="24"/>
        </w:rPr>
        <w:t xml:space="preserve">250 </w:t>
      </w:r>
      <w:r>
        <w:rPr>
          <w:szCs w:val="24"/>
        </w:rPr>
        <w:t xml:space="preserve">mL capacity) and rinse </w:t>
      </w:r>
      <w:r w:rsidR="00CB1C35">
        <w:rPr>
          <w:szCs w:val="24"/>
        </w:rPr>
        <w:t xml:space="preserve">it </w:t>
      </w:r>
      <w:r>
        <w:rPr>
          <w:szCs w:val="24"/>
        </w:rPr>
        <w:t xml:space="preserve">thoroughly with </w:t>
      </w:r>
      <w:r w:rsidR="00CB1C35">
        <w:rPr>
          <w:szCs w:val="24"/>
        </w:rPr>
        <w:t>the water sample.  After rinsing, f</w:t>
      </w:r>
      <w:r>
        <w:rPr>
          <w:szCs w:val="24"/>
        </w:rPr>
        <w:t>ill the bottle completely with water</w:t>
      </w:r>
      <w:r w:rsidR="00CB1C35">
        <w:rPr>
          <w:szCs w:val="24"/>
        </w:rPr>
        <w:t xml:space="preserve"> and </w:t>
      </w:r>
      <w:r>
        <w:rPr>
          <w:szCs w:val="24"/>
        </w:rPr>
        <w:t xml:space="preserve">cap </w:t>
      </w:r>
      <w:r w:rsidR="00CB1C35">
        <w:rPr>
          <w:szCs w:val="24"/>
        </w:rPr>
        <w:t xml:space="preserve">it </w:t>
      </w:r>
      <w:r>
        <w:rPr>
          <w:szCs w:val="24"/>
        </w:rPr>
        <w:t>tightly</w:t>
      </w:r>
      <w:r w:rsidR="00CB1C35">
        <w:rPr>
          <w:szCs w:val="24"/>
        </w:rPr>
        <w:t xml:space="preserve">.  Students should record any </w:t>
      </w:r>
      <w:r>
        <w:rPr>
          <w:szCs w:val="24"/>
        </w:rPr>
        <w:t xml:space="preserve">observations regarding the appearance of the water immediately after collection and a day or two afterwards. </w:t>
      </w:r>
      <w:r w:rsidR="00CB1C35">
        <w:rPr>
          <w:szCs w:val="24"/>
        </w:rPr>
        <w:t>They should m</w:t>
      </w:r>
      <w:r>
        <w:rPr>
          <w:szCs w:val="24"/>
        </w:rPr>
        <w:t>easure the pH of the water sample and record th</w:t>
      </w:r>
      <w:r w:rsidR="00414DA8">
        <w:rPr>
          <w:szCs w:val="24"/>
        </w:rPr>
        <w:t>at</w:t>
      </w:r>
      <w:r>
        <w:rPr>
          <w:szCs w:val="24"/>
        </w:rPr>
        <w:t xml:space="preserve"> value in </w:t>
      </w:r>
      <w:r w:rsidR="00CB1C35">
        <w:rPr>
          <w:szCs w:val="24"/>
        </w:rPr>
        <w:t>their</w:t>
      </w:r>
      <w:r>
        <w:rPr>
          <w:szCs w:val="24"/>
        </w:rPr>
        <w:t xml:space="preserve"> </w:t>
      </w:r>
      <w:r w:rsidR="00F310BE">
        <w:rPr>
          <w:szCs w:val="24"/>
        </w:rPr>
        <w:t>laboratory notebook.</w:t>
      </w:r>
      <w:r w:rsidR="000E2209">
        <w:rPr>
          <w:szCs w:val="24"/>
        </w:rPr>
        <w:t xml:space="preserve"> If students have already developed a sampling plan, appropriate </w:t>
      </w:r>
      <w:r w:rsidR="00414DA8">
        <w:rPr>
          <w:szCs w:val="24"/>
        </w:rPr>
        <w:t>steps should be taken to properly clean sample containers and preserve samples as needed.</w:t>
      </w:r>
    </w:p>
    <w:sectPr w:rsidR="00664628" w:rsidSect="00664628">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2DFE7188" w14:textId="77777777" w:rsidR="002A3F03" w:rsidRDefault="002A3F03" w:rsidP="00E625A8">
      <w:pPr>
        <w:spacing w:after="0" w:line="240" w:lineRule="auto"/>
      </w:pPr>
      <w:r>
        <w:separator/>
      </w:r>
    </w:p>
  </w:endnote>
  <w:endnote w:type="continuationSeparator" w:id="0">
    <w:p w14:paraId="27DCA48E" w14:textId="77777777" w:rsidR="002A3F03" w:rsidRDefault="002A3F03" w:rsidP="00E62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313479"/>
      <w:docPartObj>
        <w:docPartGallery w:val="Page Numbers (Bottom of Page)"/>
        <w:docPartUnique/>
      </w:docPartObj>
    </w:sdtPr>
    <w:sdtEndPr>
      <w:rPr>
        <w:color w:val="7F7F7F" w:themeColor="background1" w:themeShade="7F"/>
        <w:spacing w:val="60"/>
      </w:rPr>
    </w:sdtEndPr>
    <w:sdtContent>
      <w:p w14:paraId="124FE414" w14:textId="77777777" w:rsidR="00CC37F6" w:rsidRDefault="002A3F03">
        <w:pPr>
          <w:pStyle w:val="Footer"/>
          <w:pBdr>
            <w:top w:val="single" w:sz="4" w:space="1" w:color="D9D9D9" w:themeColor="background1" w:themeShade="D9"/>
          </w:pBdr>
          <w:jc w:val="right"/>
        </w:pPr>
        <w:r>
          <w:fldChar w:fldCharType="begin"/>
        </w:r>
        <w:r>
          <w:instrText xml:space="preserve"> PAGE   \* MERGEFORMAT </w:instrText>
        </w:r>
        <w:r>
          <w:fldChar w:fldCharType="separate"/>
        </w:r>
        <w:r w:rsidR="001371EC">
          <w:rPr>
            <w:noProof/>
          </w:rPr>
          <w:t>3</w:t>
        </w:r>
        <w:r>
          <w:rPr>
            <w:noProof/>
          </w:rPr>
          <w:fldChar w:fldCharType="end"/>
        </w:r>
        <w:r w:rsidR="00CC37F6">
          <w:t xml:space="preserve"> | </w:t>
        </w:r>
        <w:r w:rsidR="00CC37F6">
          <w:rPr>
            <w:color w:val="7F7F7F" w:themeColor="background1" w:themeShade="7F"/>
            <w:spacing w:val="60"/>
          </w:rPr>
          <w:t>Page</w:t>
        </w:r>
      </w:p>
    </w:sdtContent>
  </w:sdt>
  <w:p w14:paraId="1DED89F7" w14:textId="77777777" w:rsidR="00CC37F6" w:rsidRDefault="00CC37F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80CF53B" w14:textId="77777777" w:rsidR="002A3F03" w:rsidRDefault="002A3F03" w:rsidP="00E625A8">
      <w:pPr>
        <w:spacing w:after="0" w:line="240" w:lineRule="auto"/>
      </w:pPr>
      <w:r>
        <w:separator/>
      </w:r>
    </w:p>
  </w:footnote>
  <w:footnote w:type="continuationSeparator" w:id="0">
    <w:p w14:paraId="39C48829" w14:textId="77777777" w:rsidR="002A3F03" w:rsidRDefault="002A3F03" w:rsidP="00E625A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3"/>
    <w:multiLevelType w:val="multilevel"/>
    <w:tmpl w:val="38405278"/>
    <w:name w:val="WW8Num3"/>
    <w:lvl w:ilvl="0">
      <w:start w:val="1"/>
      <w:numFmt w:val="decimal"/>
      <w:lvlText w:val=" %1."/>
      <w:lvlJc w:val="left"/>
      <w:pPr>
        <w:tabs>
          <w:tab w:val="num" w:pos="360"/>
        </w:tabs>
        <w:ind w:left="360" w:hanging="360"/>
      </w:pPr>
      <w:rPr>
        <w:rFonts w:ascii="Calibri" w:hAnsi="Calibri" w:cs="Arial" w:hint="default"/>
        <w:b w:val="0"/>
        <w:i w:val="0"/>
        <w:sz w:val="24"/>
        <w:szCs w:val="24"/>
      </w:rPr>
    </w:lvl>
    <w:lvl w:ilvl="1">
      <w:start w:val="1"/>
      <w:numFmt w:val="lowerLetter"/>
      <w:lvlText w:val="(%2)"/>
      <w:lvlJc w:val="left"/>
      <w:pPr>
        <w:tabs>
          <w:tab w:val="num" w:pos="720"/>
        </w:tabs>
        <w:ind w:left="720" w:hanging="360"/>
      </w:pPr>
      <w:rPr>
        <w:rFonts w:ascii="Calibri" w:hAnsi="Calibri" w:cs="Arial" w:hint="default"/>
        <w:b w:val="0"/>
        <w:i w:val="0"/>
        <w:sz w:val="24"/>
        <w:szCs w:val="24"/>
      </w:rPr>
    </w:lvl>
    <w:lvl w:ilvl="2">
      <w:start w:val="1"/>
      <w:numFmt w:val="lowerRoman"/>
      <w:lvlText w:val=" %3."/>
      <w:lvlJc w:val="left"/>
      <w:pPr>
        <w:tabs>
          <w:tab w:val="num" w:pos="1080"/>
        </w:tabs>
        <w:ind w:left="1080" w:hanging="360"/>
      </w:pPr>
      <w:rPr>
        <w:rFonts w:asciiTheme="minorHAnsi" w:hAnsiTheme="minorHAnsi" w:cs="Arial" w:hint="default"/>
        <w:b w:val="0"/>
        <w:i w:val="0"/>
        <w:color w:val="auto"/>
        <w:sz w:val="22"/>
      </w:rPr>
    </w:lvl>
    <w:lvl w:ilvl="3">
      <w:start w:val="1"/>
      <w:numFmt w:val="upperLetter"/>
      <w:lvlText w:val=" %4."/>
      <w:lvlJc w:val="left"/>
      <w:pPr>
        <w:tabs>
          <w:tab w:val="num" w:pos="1440"/>
        </w:tabs>
        <w:ind w:left="1440" w:hanging="360"/>
      </w:pPr>
      <w:rPr>
        <w:rFonts w:ascii="Arial" w:hAnsi="Arial" w:cs="Arial"/>
        <w:b w:val="0"/>
        <w:i w:val="0"/>
        <w:sz w:val="22"/>
      </w:rPr>
    </w:lvl>
    <w:lvl w:ilvl="4">
      <w:start w:val="1"/>
      <w:numFmt w:val="bullet"/>
      <w:lvlText w:val=""/>
      <w:lvlJc w:val="left"/>
      <w:pPr>
        <w:tabs>
          <w:tab w:val="num" w:pos="1800"/>
        </w:tabs>
        <w:ind w:left="1800" w:hanging="360"/>
      </w:pPr>
      <w:rPr>
        <w:rFonts w:ascii="Symbol" w:hAnsi="Symbol" w:cs="OpenSymbol"/>
      </w:rPr>
    </w:lvl>
    <w:lvl w:ilvl="5">
      <w:start w:val="1"/>
      <w:numFmt w:val="bullet"/>
      <w:lvlText w:val=""/>
      <w:lvlJc w:val="left"/>
      <w:pPr>
        <w:tabs>
          <w:tab w:val="num" w:pos="2160"/>
        </w:tabs>
        <w:ind w:left="2160" w:hanging="360"/>
      </w:pPr>
      <w:rPr>
        <w:rFonts w:ascii="Symbol" w:hAnsi="Symbol" w:cs="OpenSymbol"/>
      </w:rPr>
    </w:lvl>
    <w:lvl w:ilvl="6">
      <w:start w:val="1"/>
      <w:numFmt w:val="bullet"/>
      <w:lvlText w:val=""/>
      <w:lvlJc w:val="left"/>
      <w:pPr>
        <w:tabs>
          <w:tab w:val="num" w:pos="2520"/>
        </w:tabs>
        <w:ind w:left="2520" w:hanging="360"/>
      </w:pPr>
      <w:rPr>
        <w:rFonts w:ascii="Symbol" w:hAnsi="Symbol" w:cs="OpenSymbol"/>
      </w:rPr>
    </w:lvl>
    <w:lvl w:ilvl="7">
      <w:start w:val="1"/>
      <w:numFmt w:val="bullet"/>
      <w:lvlText w:val=""/>
      <w:lvlJc w:val="left"/>
      <w:pPr>
        <w:tabs>
          <w:tab w:val="num" w:pos="2880"/>
        </w:tabs>
        <w:ind w:left="2880" w:hanging="360"/>
      </w:pPr>
      <w:rPr>
        <w:rFonts w:ascii="Symbol" w:hAnsi="Symbol" w:cs="OpenSymbol"/>
      </w:rPr>
    </w:lvl>
    <w:lvl w:ilvl="8">
      <w:start w:val="1"/>
      <w:numFmt w:val="bullet"/>
      <w:lvlText w:val=""/>
      <w:lvlJc w:val="left"/>
      <w:pPr>
        <w:tabs>
          <w:tab w:val="num" w:pos="3240"/>
        </w:tabs>
        <w:ind w:left="3240" w:hanging="360"/>
      </w:pPr>
      <w:rPr>
        <w:rFonts w:ascii="Symbol" w:hAnsi="Symbol" w:cs="OpenSymbol"/>
      </w:rPr>
    </w:lvl>
  </w:abstractNum>
  <w:abstractNum w:abstractNumId="1">
    <w:nsid w:val="00000004"/>
    <w:multiLevelType w:val="singleLevel"/>
    <w:tmpl w:val="00000004"/>
    <w:name w:val="WW8Num4"/>
    <w:lvl w:ilvl="0">
      <w:start w:val="1"/>
      <w:numFmt w:val="decimal"/>
      <w:lvlText w:val="%1."/>
      <w:lvlJc w:val="left"/>
      <w:pPr>
        <w:tabs>
          <w:tab w:val="num" w:pos="0"/>
        </w:tabs>
        <w:ind w:left="720" w:hanging="360"/>
      </w:pPr>
    </w:lvl>
  </w:abstractNum>
  <w:abstractNum w:abstractNumId="2">
    <w:nsid w:val="0000000A"/>
    <w:multiLevelType w:val="singleLevel"/>
    <w:tmpl w:val="0000000A"/>
    <w:name w:val="WW8Num10"/>
    <w:lvl w:ilvl="0">
      <w:start w:val="1"/>
      <w:numFmt w:val="decimal"/>
      <w:lvlText w:val="%1."/>
      <w:lvlJc w:val="left"/>
      <w:pPr>
        <w:tabs>
          <w:tab w:val="num" w:pos="0"/>
        </w:tabs>
        <w:ind w:left="720" w:hanging="360"/>
      </w:pPr>
    </w:lvl>
  </w:abstractNum>
  <w:abstractNum w:abstractNumId="3">
    <w:nsid w:val="00000023"/>
    <w:multiLevelType w:val="multilevel"/>
    <w:tmpl w:val="00000023"/>
    <w:name w:val="WW8Num3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24"/>
    <w:multiLevelType w:val="multilevel"/>
    <w:tmpl w:val="00000024"/>
    <w:name w:val="WW8Num3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25"/>
    <w:multiLevelType w:val="multilevel"/>
    <w:tmpl w:val="00000025"/>
    <w:name w:val="WW8Num3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26"/>
    <w:multiLevelType w:val="multilevel"/>
    <w:tmpl w:val="00000026"/>
    <w:name w:val="WW8Num3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27"/>
    <w:multiLevelType w:val="multilevel"/>
    <w:tmpl w:val="00000027"/>
    <w:name w:val="WW8Num3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nsid w:val="00000035"/>
    <w:multiLevelType w:val="multilevel"/>
    <w:tmpl w:val="00000035"/>
    <w:name w:val="WW8Num53"/>
    <w:lvl w:ilvl="0">
      <w:start w:val="1"/>
      <w:numFmt w:val="decimal"/>
      <w:lvlText w:val="%1."/>
      <w:lvlJc w:val="left"/>
      <w:pPr>
        <w:tabs>
          <w:tab w:val="num" w:pos="720"/>
        </w:tabs>
        <w:ind w:left="720" w:hanging="360"/>
      </w:pPr>
      <w:rPr>
        <w:rFonts w:ascii="Calibri" w:hAnsi="Calibri" w:cs="Calibri"/>
        <w:i w:val="0"/>
        <w:iCs w:val="0"/>
        <w:sz w:val="24"/>
        <w:szCs w:val="26"/>
      </w:rPr>
    </w:lvl>
    <w:lvl w:ilvl="1">
      <w:start w:val="1"/>
      <w:numFmt w:val="decimal"/>
      <w:lvlText w:val="%2."/>
      <w:lvlJc w:val="left"/>
      <w:pPr>
        <w:tabs>
          <w:tab w:val="num" w:pos="1080"/>
        </w:tabs>
        <w:ind w:left="1080" w:hanging="360"/>
      </w:pPr>
      <w:rPr>
        <w:rFonts w:ascii="Calibri" w:hAnsi="Calibri" w:cs="Calibri"/>
        <w:i w:val="0"/>
        <w:iCs w:val="0"/>
        <w:sz w:val="24"/>
        <w:szCs w:val="26"/>
      </w:rPr>
    </w:lvl>
    <w:lvl w:ilvl="2">
      <w:start w:val="1"/>
      <w:numFmt w:val="decimal"/>
      <w:lvlText w:val="%3."/>
      <w:lvlJc w:val="left"/>
      <w:pPr>
        <w:tabs>
          <w:tab w:val="num" w:pos="1440"/>
        </w:tabs>
        <w:ind w:left="1440" w:hanging="360"/>
      </w:pPr>
      <w:rPr>
        <w:rFonts w:ascii="Calibri" w:hAnsi="Calibri" w:cs="Calibri"/>
        <w:i w:val="0"/>
        <w:iCs w:val="0"/>
        <w:sz w:val="24"/>
        <w:szCs w:val="26"/>
      </w:rPr>
    </w:lvl>
    <w:lvl w:ilvl="3">
      <w:start w:val="1"/>
      <w:numFmt w:val="decimal"/>
      <w:lvlText w:val="%4."/>
      <w:lvlJc w:val="left"/>
      <w:pPr>
        <w:tabs>
          <w:tab w:val="num" w:pos="1800"/>
        </w:tabs>
        <w:ind w:left="1800" w:hanging="360"/>
      </w:pPr>
      <w:rPr>
        <w:rFonts w:ascii="Calibri" w:hAnsi="Calibri" w:cs="Calibri"/>
        <w:i w:val="0"/>
        <w:iCs w:val="0"/>
        <w:sz w:val="24"/>
        <w:szCs w:val="26"/>
      </w:rPr>
    </w:lvl>
    <w:lvl w:ilvl="4">
      <w:start w:val="1"/>
      <w:numFmt w:val="decimal"/>
      <w:lvlText w:val="%5."/>
      <w:lvlJc w:val="left"/>
      <w:pPr>
        <w:tabs>
          <w:tab w:val="num" w:pos="2160"/>
        </w:tabs>
        <w:ind w:left="2160" w:hanging="360"/>
      </w:pPr>
      <w:rPr>
        <w:rFonts w:ascii="Calibri" w:hAnsi="Calibri" w:cs="Calibri"/>
        <w:i w:val="0"/>
        <w:iCs w:val="0"/>
        <w:sz w:val="24"/>
        <w:szCs w:val="26"/>
      </w:rPr>
    </w:lvl>
    <w:lvl w:ilvl="5">
      <w:start w:val="1"/>
      <w:numFmt w:val="decimal"/>
      <w:lvlText w:val="%6."/>
      <w:lvlJc w:val="left"/>
      <w:pPr>
        <w:tabs>
          <w:tab w:val="num" w:pos="2520"/>
        </w:tabs>
        <w:ind w:left="2520" w:hanging="360"/>
      </w:pPr>
      <w:rPr>
        <w:rFonts w:ascii="Calibri" w:hAnsi="Calibri" w:cs="Calibri"/>
        <w:i w:val="0"/>
        <w:iCs w:val="0"/>
        <w:sz w:val="24"/>
        <w:szCs w:val="26"/>
      </w:rPr>
    </w:lvl>
    <w:lvl w:ilvl="6">
      <w:start w:val="1"/>
      <w:numFmt w:val="decimal"/>
      <w:lvlText w:val="%7."/>
      <w:lvlJc w:val="left"/>
      <w:pPr>
        <w:tabs>
          <w:tab w:val="num" w:pos="2880"/>
        </w:tabs>
        <w:ind w:left="2880" w:hanging="360"/>
      </w:pPr>
      <w:rPr>
        <w:rFonts w:ascii="Calibri" w:hAnsi="Calibri" w:cs="Calibri"/>
        <w:i w:val="0"/>
        <w:iCs w:val="0"/>
        <w:sz w:val="24"/>
        <w:szCs w:val="26"/>
      </w:rPr>
    </w:lvl>
    <w:lvl w:ilvl="7">
      <w:start w:val="1"/>
      <w:numFmt w:val="decimal"/>
      <w:lvlText w:val="%8."/>
      <w:lvlJc w:val="left"/>
      <w:pPr>
        <w:tabs>
          <w:tab w:val="num" w:pos="3240"/>
        </w:tabs>
        <w:ind w:left="3240" w:hanging="360"/>
      </w:pPr>
      <w:rPr>
        <w:rFonts w:ascii="Calibri" w:hAnsi="Calibri" w:cs="Calibri"/>
        <w:i w:val="0"/>
        <w:iCs w:val="0"/>
        <w:sz w:val="24"/>
        <w:szCs w:val="26"/>
      </w:rPr>
    </w:lvl>
    <w:lvl w:ilvl="8">
      <w:start w:val="1"/>
      <w:numFmt w:val="decimal"/>
      <w:lvlText w:val="%9."/>
      <w:lvlJc w:val="left"/>
      <w:pPr>
        <w:tabs>
          <w:tab w:val="num" w:pos="3600"/>
        </w:tabs>
        <w:ind w:left="3600" w:hanging="360"/>
      </w:pPr>
      <w:rPr>
        <w:rFonts w:ascii="Calibri" w:hAnsi="Calibri" w:cs="Calibri"/>
        <w:i w:val="0"/>
        <w:iCs w:val="0"/>
        <w:sz w:val="24"/>
        <w:szCs w:val="26"/>
      </w:rPr>
    </w:lvl>
  </w:abstractNum>
  <w:abstractNum w:abstractNumId="9">
    <w:nsid w:val="12823CBE"/>
    <w:multiLevelType w:val="hybridMultilevel"/>
    <w:tmpl w:val="20D85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6"/>
  </w:num>
  <w:num w:numId="5">
    <w:abstractNumId w:val="7"/>
  </w:num>
  <w:num w:numId="6">
    <w:abstractNumId w:val="8"/>
  </w:num>
  <w:num w:numId="7">
    <w:abstractNumId w:val="9"/>
  </w:num>
  <w:num w:numId="8">
    <w:abstractNumId w:val="1"/>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1D0E7B"/>
    <w:rsid w:val="000202E5"/>
    <w:rsid w:val="00032492"/>
    <w:rsid w:val="00036669"/>
    <w:rsid w:val="00041F12"/>
    <w:rsid w:val="00062A7F"/>
    <w:rsid w:val="00067DCB"/>
    <w:rsid w:val="00071824"/>
    <w:rsid w:val="00083F78"/>
    <w:rsid w:val="000A1245"/>
    <w:rsid w:val="000A2F62"/>
    <w:rsid w:val="000B5DA4"/>
    <w:rsid w:val="000E2209"/>
    <w:rsid w:val="001327ED"/>
    <w:rsid w:val="001371EC"/>
    <w:rsid w:val="00146406"/>
    <w:rsid w:val="001827C5"/>
    <w:rsid w:val="001B2047"/>
    <w:rsid w:val="001C3A79"/>
    <w:rsid w:val="001D0E7B"/>
    <w:rsid w:val="002112CE"/>
    <w:rsid w:val="00226B00"/>
    <w:rsid w:val="00295956"/>
    <w:rsid w:val="002A3F03"/>
    <w:rsid w:val="002D03E3"/>
    <w:rsid w:val="0030471A"/>
    <w:rsid w:val="003101AD"/>
    <w:rsid w:val="003423FC"/>
    <w:rsid w:val="003A7AE6"/>
    <w:rsid w:val="003C37F5"/>
    <w:rsid w:val="00414DA8"/>
    <w:rsid w:val="00431BAD"/>
    <w:rsid w:val="004377AB"/>
    <w:rsid w:val="00450884"/>
    <w:rsid w:val="004F49E1"/>
    <w:rsid w:val="005140E1"/>
    <w:rsid w:val="005833DF"/>
    <w:rsid w:val="00585968"/>
    <w:rsid w:val="00587967"/>
    <w:rsid w:val="006549FB"/>
    <w:rsid w:val="00664628"/>
    <w:rsid w:val="0069054C"/>
    <w:rsid w:val="006B1F84"/>
    <w:rsid w:val="006B6BF8"/>
    <w:rsid w:val="007C1E7B"/>
    <w:rsid w:val="007C27E0"/>
    <w:rsid w:val="007E216A"/>
    <w:rsid w:val="007E2B03"/>
    <w:rsid w:val="007F4247"/>
    <w:rsid w:val="00824945"/>
    <w:rsid w:val="00827119"/>
    <w:rsid w:val="00843C15"/>
    <w:rsid w:val="0085509F"/>
    <w:rsid w:val="008630EB"/>
    <w:rsid w:val="00867462"/>
    <w:rsid w:val="00874E4D"/>
    <w:rsid w:val="0089147C"/>
    <w:rsid w:val="0089502D"/>
    <w:rsid w:val="008950A0"/>
    <w:rsid w:val="008F55D1"/>
    <w:rsid w:val="0094184C"/>
    <w:rsid w:val="00963B3D"/>
    <w:rsid w:val="00975254"/>
    <w:rsid w:val="00981BE6"/>
    <w:rsid w:val="0098207A"/>
    <w:rsid w:val="009B7B91"/>
    <w:rsid w:val="009F1AA6"/>
    <w:rsid w:val="00A028C7"/>
    <w:rsid w:val="00A13467"/>
    <w:rsid w:val="00A20213"/>
    <w:rsid w:val="00AE069C"/>
    <w:rsid w:val="00B05A0B"/>
    <w:rsid w:val="00B10374"/>
    <w:rsid w:val="00BA164D"/>
    <w:rsid w:val="00BD2D78"/>
    <w:rsid w:val="00C45FDA"/>
    <w:rsid w:val="00C7107E"/>
    <w:rsid w:val="00C76569"/>
    <w:rsid w:val="00C87554"/>
    <w:rsid w:val="00CB1C35"/>
    <w:rsid w:val="00CC37F6"/>
    <w:rsid w:val="00D16EA6"/>
    <w:rsid w:val="00D75A20"/>
    <w:rsid w:val="00D86077"/>
    <w:rsid w:val="00DC76A2"/>
    <w:rsid w:val="00DD7737"/>
    <w:rsid w:val="00DE5DDF"/>
    <w:rsid w:val="00E41F75"/>
    <w:rsid w:val="00E625A8"/>
    <w:rsid w:val="00E71D91"/>
    <w:rsid w:val="00E95A79"/>
    <w:rsid w:val="00ED136B"/>
    <w:rsid w:val="00ED651A"/>
    <w:rsid w:val="00F23BF6"/>
    <w:rsid w:val="00F272D6"/>
    <w:rsid w:val="00F310BE"/>
    <w:rsid w:val="00F82321"/>
    <w:rsid w:val="00F95B70"/>
    <w:rsid w:val="00FB680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3"/>
    <o:shapelayout v:ext="edit">
      <o:idmap v:ext="edit" data="1"/>
    </o:shapelayout>
  </w:shapeDefaults>
  <w:decimalSymbol w:val="."/>
  <w:listSeparator w:val=","/>
  <w14:docId w14:val="3626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E7B"/>
    <w:pPr>
      <w:suppressAutoHyphens/>
    </w:pPr>
    <w:rPr>
      <w:rFonts w:ascii="Calibri" w:eastAsia="Calibri" w:hAnsi="Calibri" w:cs="Calibri"/>
      <w:kern w:val="1"/>
      <w:sz w:val="24"/>
      <w:lang w:eastAsia="zh-CN"/>
    </w:rPr>
  </w:style>
  <w:style w:type="paragraph" w:styleId="Heading1">
    <w:name w:val="heading 1"/>
    <w:basedOn w:val="Normal"/>
    <w:next w:val="Normal"/>
    <w:link w:val="Heading1Char"/>
    <w:qFormat/>
    <w:rsid w:val="00963B3D"/>
    <w:pPr>
      <w:keepNext/>
      <w:tabs>
        <w:tab w:val="num" w:pos="0"/>
      </w:tabs>
      <w:spacing w:before="240" w:after="60"/>
      <w:ind w:left="432" w:hanging="432"/>
      <w:outlineLvl w:val="0"/>
    </w:pPr>
    <w:rPr>
      <w:rFonts w:eastAsia="Times New Roman" w:cs="Times New Roman"/>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D0E7B"/>
    <w:rPr>
      <w:color w:val="0000FF"/>
      <w:u w:val="single"/>
    </w:rPr>
  </w:style>
  <w:style w:type="paragraph" w:styleId="Caption">
    <w:name w:val="caption"/>
    <w:basedOn w:val="Normal"/>
    <w:next w:val="Normal"/>
    <w:qFormat/>
    <w:rsid w:val="001D0E7B"/>
    <w:pPr>
      <w:spacing w:line="100" w:lineRule="atLeast"/>
    </w:pPr>
    <w:rPr>
      <w:b/>
      <w:bCs/>
      <w:color w:val="4F81BD"/>
      <w:szCs w:val="18"/>
    </w:rPr>
  </w:style>
  <w:style w:type="paragraph" w:customStyle="1" w:styleId="TableContents">
    <w:name w:val="Table Contents"/>
    <w:basedOn w:val="Normal"/>
    <w:rsid w:val="001D0E7B"/>
    <w:pPr>
      <w:suppressLineNumbers/>
    </w:pPr>
  </w:style>
  <w:style w:type="paragraph" w:styleId="Header">
    <w:name w:val="header"/>
    <w:basedOn w:val="Normal"/>
    <w:link w:val="HeaderChar"/>
    <w:uiPriority w:val="99"/>
    <w:semiHidden/>
    <w:unhideWhenUsed/>
    <w:rsid w:val="00E625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25A8"/>
    <w:rPr>
      <w:rFonts w:ascii="Calibri" w:eastAsia="Calibri" w:hAnsi="Calibri" w:cs="Calibri"/>
      <w:kern w:val="1"/>
      <w:sz w:val="24"/>
      <w:lang w:eastAsia="zh-CN"/>
    </w:rPr>
  </w:style>
  <w:style w:type="paragraph" w:styleId="Footer">
    <w:name w:val="footer"/>
    <w:basedOn w:val="Normal"/>
    <w:link w:val="FooterChar"/>
    <w:uiPriority w:val="99"/>
    <w:unhideWhenUsed/>
    <w:rsid w:val="00E625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5A8"/>
    <w:rPr>
      <w:rFonts w:ascii="Calibri" w:eastAsia="Calibri" w:hAnsi="Calibri" w:cs="Calibri"/>
      <w:kern w:val="1"/>
      <w:sz w:val="24"/>
      <w:lang w:eastAsia="zh-CN"/>
    </w:rPr>
  </w:style>
  <w:style w:type="character" w:customStyle="1" w:styleId="Heading1Char">
    <w:name w:val="Heading 1 Char"/>
    <w:basedOn w:val="DefaultParagraphFont"/>
    <w:link w:val="Heading1"/>
    <w:rsid w:val="00963B3D"/>
    <w:rPr>
      <w:rFonts w:ascii="Calibri" w:eastAsia="Times New Roman" w:hAnsi="Calibri" w:cs="Times New Roman"/>
      <w:b/>
      <w:bCs/>
      <w:kern w:val="1"/>
      <w:sz w:val="24"/>
      <w:szCs w:val="32"/>
      <w:lang w:eastAsia="zh-CN"/>
    </w:rPr>
  </w:style>
  <w:style w:type="paragraph" w:styleId="ListParagraph">
    <w:name w:val="List Paragraph"/>
    <w:basedOn w:val="Normal"/>
    <w:qFormat/>
    <w:rsid w:val="00963B3D"/>
    <w:pPr>
      <w:spacing w:after="0"/>
      <w:ind w:left="720"/>
    </w:pPr>
  </w:style>
  <w:style w:type="character" w:styleId="CommentReference">
    <w:name w:val="annotation reference"/>
    <w:basedOn w:val="DefaultParagraphFont"/>
    <w:uiPriority w:val="99"/>
    <w:semiHidden/>
    <w:unhideWhenUsed/>
    <w:rsid w:val="000A2F62"/>
    <w:rPr>
      <w:sz w:val="16"/>
      <w:szCs w:val="16"/>
    </w:rPr>
  </w:style>
  <w:style w:type="paragraph" w:styleId="CommentText">
    <w:name w:val="annotation text"/>
    <w:basedOn w:val="Normal"/>
    <w:link w:val="CommentTextChar"/>
    <w:uiPriority w:val="99"/>
    <w:semiHidden/>
    <w:unhideWhenUsed/>
    <w:rsid w:val="000A2F62"/>
    <w:pPr>
      <w:spacing w:line="240" w:lineRule="auto"/>
    </w:pPr>
    <w:rPr>
      <w:sz w:val="20"/>
      <w:szCs w:val="20"/>
    </w:rPr>
  </w:style>
  <w:style w:type="character" w:customStyle="1" w:styleId="CommentTextChar">
    <w:name w:val="Comment Text Char"/>
    <w:basedOn w:val="DefaultParagraphFont"/>
    <w:link w:val="CommentText"/>
    <w:uiPriority w:val="99"/>
    <w:semiHidden/>
    <w:rsid w:val="000A2F62"/>
    <w:rPr>
      <w:rFonts w:ascii="Calibri" w:eastAsia="Calibri" w:hAnsi="Calibri" w:cs="Calibri"/>
      <w:kern w:val="1"/>
      <w:sz w:val="20"/>
      <w:szCs w:val="20"/>
      <w:lang w:eastAsia="zh-CN"/>
    </w:rPr>
  </w:style>
  <w:style w:type="paragraph" w:styleId="CommentSubject">
    <w:name w:val="annotation subject"/>
    <w:basedOn w:val="CommentText"/>
    <w:next w:val="CommentText"/>
    <w:link w:val="CommentSubjectChar"/>
    <w:uiPriority w:val="99"/>
    <w:semiHidden/>
    <w:unhideWhenUsed/>
    <w:rsid w:val="000A2F62"/>
    <w:rPr>
      <w:b/>
      <w:bCs/>
    </w:rPr>
  </w:style>
  <w:style w:type="character" w:customStyle="1" w:styleId="CommentSubjectChar">
    <w:name w:val="Comment Subject Char"/>
    <w:basedOn w:val="CommentTextChar"/>
    <w:link w:val="CommentSubject"/>
    <w:uiPriority w:val="99"/>
    <w:semiHidden/>
    <w:rsid w:val="000A2F62"/>
    <w:rPr>
      <w:rFonts w:ascii="Calibri" w:eastAsia="Calibri" w:hAnsi="Calibri" w:cs="Calibri"/>
      <w:b/>
      <w:bCs/>
      <w:kern w:val="1"/>
      <w:sz w:val="20"/>
      <w:szCs w:val="20"/>
      <w:lang w:eastAsia="zh-CN"/>
    </w:rPr>
  </w:style>
  <w:style w:type="paragraph" w:styleId="BalloonText">
    <w:name w:val="Balloon Text"/>
    <w:basedOn w:val="Normal"/>
    <w:link w:val="BalloonTextChar"/>
    <w:uiPriority w:val="99"/>
    <w:semiHidden/>
    <w:unhideWhenUsed/>
    <w:rsid w:val="000A2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F62"/>
    <w:rPr>
      <w:rFonts w:ascii="Tahoma" w:eastAsia="Calibri" w:hAnsi="Tahoma" w:cs="Tahoma"/>
      <w:kern w:val="1"/>
      <w:sz w:val="16"/>
      <w:szCs w:val="16"/>
      <w:lang w:eastAsia="zh-CN"/>
    </w:rPr>
  </w:style>
  <w:style w:type="paragraph" w:styleId="Revision">
    <w:name w:val="Revision"/>
    <w:hidden/>
    <w:uiPriority w:val="99"/>
    <w:semiHidden/>
    <w:rsid w:val="00ED651A"/>
    <w:pPr>
      <w:spacing w:after="0" w:line="240" w:lineRule="auto"/>
    </w:pPr>
    <w:rPr>
      <w:rFonts w:ascii="Calibri" w:eastAsia="Calibri" w:hAnsi="Calibri" w:cs="Calibri"/>
      <w:kern w:val="1"/>
      <w:sz w:val="24"/>
      <w:lang w:eastAsia="zh-CN"/>
    </w:rPr>
  </w:style>
  <w:style w:type="character" w:styleId="FollowedHyperlink">
    <w:name w:val="FollowedHyperlink"/>
    <w:basedOn w:val="DefaultParagraphFont"/>
    <w:uiPriority w:val="99"/>
    <w:semiHidden/>
    <w:unhideWhenUsed/>
    <w:rsid w:val="001371EC"/>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E7B"/>
    <w:pPr>
      <w:suppressAutoHyphens/>
    </w:pPr>
    <w:rPr>
      <w:rFonts w:ascii="Calibri" w:eastAsia="Calibri" w:hAnsi="Calibri" w:cs="Calibri"/>
      <w:kern w:val="1"/>
      <w:sz w:val="24"/>
      <w:lang w:eastAsia="zh-CN"/>
    </w:rPr>
  </w:style>
  <w:style w:type="paragraph" w:styleId="Heading1">
    <w:name w:val="heading 1"/>
    <w:basedOn w:val="Normal"/>
    <w:next w:val="Normal"/>
    <w:link w:val="Heading1Char"/>
    <w:qFormat/>
    <w:rsid w:val="00963B3D"/>
    <w:pPr>
      <w:keepNext/>
      <w:tabs>
        <w:tab w:val="num" w:pos="0"/>
      </w:tabs>
      <w:spacing w:before="240" w:after="60"/>
      <w:ind w:left="432" w:hanging="432"/>
      <w:outlineLvl w:val="0"/>
    </w:pPr>
    <w:rPr>
      <w:rFonts w:eastAsia="Times New Roman" w:cs="Times New Roman"/>
      <w:b/>
      <w:bCs/>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D0E7B"/>
    <w:rPr>
      <w:color w:val="0000FF"/>
      <w:u w:val="single"/>
    </w:rPr>
  </w:style>
  <w:style w:type="paragraph" w:styleId="Caption">
    <w:name w:val="caption"/>
    <w:basedOn w:val="Normal"/>
    <w:next w:val="Normal"/>
    <w:qFormat/>
    <w:rsid w:val="001D0E7B"/>
    <w:pPr>
      <w:spacing w:line="100" w:lineRule="atLeast"/>
    </w:pPr>
    <w:rPr>
      <w:b/>
      <w:bCs/>
      <w:color w:val="4F81BD"/>
      <w:szCs w:val="18"/>
    </w:rPr>
  </w:style>
  <w:style w:type="paragraph" w:customStyle="1" w:styleId="TableContents">
    <w:name w:val="Table Contents"/>
    <w:basedOn w:val="Normal"/>
    <w:rsid w:val="001D0E7B"/>
    <w:pPr>
      <w:suppressLineNumbers/>
    </w:pPr>
  </w:style>
  <w:style w:type="paragraph" w:styleId="Header">
    <w:name w:val="header"/>
    <w:basedOn w:val="Normal"/>
    <w:link w:val="HeaderChar"/>
    <w:uiPriority w:val="99"/>
    <w:semiHidden/>
    <w:unhideWhenUsed/>
    <w:rsid w:val="00E625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25A8"/>
    <w:rPr>
      <w:rFonts w:ascii="Calibri" w:eastAsia="Calibri" w:hAnsi="Calibri" w:cs="Calibri"/>
      <w:kern w:val="1"/>
      <w:sz w:val="24"/>
      <w:lang w:eastAsia="zh-CN"/>
    </w:rPr>
  </w:style>
  <w:style w:type="paragraph" w:styleId="Footer">
    <w:name w:val="footer"/>
    <w:basedOn w:val="Normal"/>
    <w:link w:val="FooterChar"/>
    <w:uiPriority w:val="99"/>
    <w:unhideWhenUsed/>
    <w:rsid w:val="00E625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5A8"/>
    <w:rPr>
      <w:rFonts w:ascii="Calibri" w:eastAsia="Calibri" w:hAnsi="Calibri" w:cs="Calibri"/>
      <w:kern w:val="1"/>
      <w:sz w:val="24"/>
      <w:lang w:eastAsia="zh-CN"/>
    </w:rPr>
  </w:style>
  <w:style w:type="character" w:customStyle="1" w:styleId="Heading1Char">
    <w:name w:val="Heading 1 Char"/>
    <w:basedOn w:val="DefaultParagraphFont"/>
    <w:link w:val="Heading1"/>
    <w:rsid w:val="00963B3D"/>
    <w:rPr>
      <w:rFonts w:ascii="Calibri" w:eastAsia="Times New Roman" w:hAnsi="Calibri" w:cs="Times New Roman"/>
      <w:b/>
      <w:bCs/>
      <w:kern w:val="1"/>
      <w:sz w:val="24"/>
      <w:szCs w:val="32"/>
      <w:lang w:eastAsia="zh-CN"/>
    </w:rPr>
  </w:style>
  <w:style w:type="paragraph" w:styleId="ListParagraph">
    <w:name w:val="List Paragraph"/>
    <w:basedOn w:val="Normal"/>
    <w:qFormat/>
    <w:rsid w:val="00963B3D"/>
    <w:pPr>
      <w:spacing w:after="0"/>
      <w:ind w:left="720"/>
    </w:pPr>
  </w:style>
  <w:style w:type="character" w:styleId="CommentReference">
    <w:name w:val="annotation reference"/>
    <w:basedOn w:val="DefaultParagraphFont"/>
    <w:uiPriority w:val="99"/>
    <w:semiHidden/>
    <w:unhideWhenUsed/>
    <w:rsid w:val="000A2F62"/>
    <w:rPr>
      <w:sz w:val="16"/>
      <w:szCs w:val="16"/>
    </w:rPr>
  </w:style>
  <w:style w:type="paragraph" w:styleId="CommentText">
    <w:name w:val="annotation text"/>
    <w:basedOn w:val="Normal"/>
    <w:link w:val="CommentTextChar"/>
    <w:uiPriority w:val="99"/>
    <w:semiHidden/>
    <w:unhideWhenUsed/>
    <w:rsid w:val="000A2F62"/>
    <w:pPr>
      <w:spacing w:line="240" w:lineRule="auto"/>
    </w:pPr>
    <w:rPr>
      <w:sz w:val="20"/>
      <w:szCs w:val="20"/>
    </w:rPr>
  </w:style>
  <w:style w:type="character" w:customStyle="1" w:styleId="CommentTextChar">
    <w:name w:val="Comment Text Char"/>
    <w:basedOn w:val="DefaultParagraphFont"/>
    <w:link w:val="CommentText"/>
    <w:uiPriority w:val="99"/>
    <w:semiHidden/>
    <w:rsid w:val="000A2F62"/>
    <w:rPr>
      <w:rFonts w:ascii="Calibri" w:eastAsia="Calibri" w:hAnsi="Calibri" w:cs="Calibri"/>
      <w:kern w:val="1"/>
      <w:sz w:val="20"/>
      <w:szCs w:val="20"/>
      <w:lang w:eastAsia="zh-CN"/>
    </w:rPr>
  </w:style>
  <w:style w:type="paragraph" w:styleId="CommentSubject">
    <w:name w:val="annotation subject"/>
    <w:basedOn w:val="CommentText"/>
    <w:next w:val="CommentText"/>
    <w:link w:val="CommentSubjectChar"/>
    <w:uiPriority w:val="99"/>
    <w:semiHidden/>
    <w:unhideWhenUsed/>
    <w:rsid w:val="000A2F62"/>
    <w:rPr>
      <w:b/>
      <w:bCs/>
    </w:rPr>
  </w:style>
  <w:style w:type="character" w:customStyle="1" w:styleId="CommentSubjectChar">
    <w:name w:val="Comment Subject Char"/>
    <w:basedOn w:val="CommentTextChar"/>
    <w:link w:val="CommentSubject"/>
    <w:uiPriority w:val="99"/>
    <w:semiHidden/>
    <w:rsid w:val="000A2F62"/>
    <w:rPr>
      <w:rFonts w:ascii="Calibri" w:eastAsia="Calibri" w:hAnsi="Calibri" w:cs="Calibri"/>
      <w:b/>
      <w:bCs/>
      <w:kern w:val="1"/>
      <w:sz w:val="20"/>
      <w:szCs w:val="20"/>
      <w:lang w:eastAsia="zh-CN"/>
    </w:rPr>
  </w:style>
  <w:style w:type="paragraph" w:styleId="BalloonText">
    <w:name w:val="Balloon Text"/>
    <w:basedOn w:val="Normal"/>
    <w:link w:val="BalloonTextChar"/>
    <w:uiPriority w:val="99"/>
    <w:semiHidden/>
    <w:unhideWhenUsed/>
    <w:rsid w:val="000A2F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F62"/>
    <w:rPr>
      <w:rFonts w:ascii="Tahoma" w:eastAsia="Calibri" w:hAnsi="Tahoma" w:cs="Tahoma"/>
      <w:kern w:val="1"/>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yperlink" Target="http://www.epa.gov" TargetMode="Externa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community.asdlib.org/activelearningmaterials/files/2014/03/Lithia_Chemical_Equilibria.docx" TargetMode="External"/><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1568</Words>
  <Characters>8943</Characters>
  <Application>Microsoft Macintosh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Jaime Matute</cp:lastModifiedBy>
  <cp:revision>3</cp:revision>
  <cp:lastPrinted>2013-04-24T22:36:00Z</cp:lastPrinted>
  <dcterms:created xsi:type="dcterms:W3CDTF">2014-06-25T03:10:00Z</dcterms:created>
  <dcterms:modified xsi:type="dcterms:W3CDTF">2014-06-25T15:49:00Z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ies>
</file>