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A08" w:rsidRDefault="00392A08" w:rsidP="000C78FE">
      <w:pPr>
        <w:spacing w:line="240" w:lineRule="auto"/>
        <w:jc w:val="center"/>
        <w:rPr>
          <w:b/>
        </w:rPr>
      </w:pPr>
      <w:r>
        <w:rPr>
          <w:b/>
        </w:rPr>
        <w:t>Out-of-Class Questions</w:t>
      </w:r>
    </w:p>
    <w:p w:rsidR="00392A08" w:rsidRDefault="00392A08" w:rsidP="000C78FE">
      <w:pPr>
        <w:spacing w:line="240" w:lineRule="auto"/>
      </w:pPr>
      <w:r>
        <w:rPr>
          <w:b/>
        </w:rPr>
        <w:t>Article</w:t>
      </w:r>
      <w:r w:rsidR="00A24CA4">
        <w:rPr>
          <w:b/>
        </w:rPr>
        <w:t xml:space="preserve">: </w:t>
      </w:r>
      <w:r w:rsidR="0039077B">
        <w:t xml:space="preserve">M. </w:t>
      </w:r>
      <w:proofErr w:type="spellStart"/>
      <w:r w:rsidR="0039077B">
        <w:t>Dittrich</w:t>
      </w:r>
      <w:proofErr w:type="spellEnd"/>
      <w:r w:rsidR="0039077B">
        <w:t xml:space="preserve"> and S. </w:t>
      </w:r>
      <w:proofErr w:type="spellStart"/>
      <w:r w:rsidR="0039077B">
        <w:t>Sibler</w:t>
      </w:r>
      <w:proofErr w:type="spellEnd"/>
      <w:r w:rsidR="00A24CA4">
        <w:t>,</w:t>
      </w:r>
      <w:r w:rsidR="0039077B">
        <w:t xml:space="preserve"> “Cell surface groups of two picocyanobacteria strains studied by zeta potential investigations, potentiometric titration, and infrared spectroscopy,”</w:t>
      </w:r>
      <w:r w:rsidR="00A24CA4">
        <w:t xml:space="preserve"> </w:t>
      </w:r>
      <w:r w:rsidR="0039077B">
        <w:rPr>
          <w:i/>
        </w:rPr>
        <w:t>J. Coll. Int. Sci</w:t>
      </w:r>
      <w:r w:rsidR="00A24CA4">
        <w:rPr>
          <w:i/>
        </w:rPr>
        <w:t>.</w:t>
      </w:r>
      <w:r w:rsidR="00A24CA4">
        <w:t xml:space="preserve"> </w:t>
      </w:r>
      <w:r w:rsidR="00A24CA4">
        <w:rPr>
          <w:b/>
        </w:rPr>
        <w:t>200</w:t>
      </w:r>
      <w:r w:rsidR="0039077B">
        <w:rPr>
          <w:b/>
        </w:rPr>
        <w:t>5</w:t>
      </w:r>
      <w:r w:rsidR="00A24CA4">
        <w:t xml:space="preserve">, </w:t>
      </w:r>
      <w:r w:rsidR="0039077B">
        <w:rPr>
          <w:i/>
        </w:rPr>
        <w:t>286</w:t>
      </w:r>
      <w:r w:rsidR="00A24CA4">
        <w:t xml:space="preserve">, </w:t>
      </w:r>
      <w:r w:rsidR="0039077B">
        <w:t>487-495</w:t>
      </w:r>
      <w:r w:rsidR="00A24CA4">
        <w:t>.</w:t>
      </w:r>
    </w:p>
    <w:p w:rsidR="00A53024" w:rsidRPr="00392A08" w:rsidRDefault="00A53024" w:rsidP="000C78FE">
      <w:pPr>
        <w:spacing w:line="240" w:lineRule="auto"/>
        <w:rPr>
          <w:i/>
        </w:rPr>
      </w:pPr>
      <w:r w:rsidRPr="00392A08">
        <w:rPr>
          <w:i/>
        </w:rPr>
        <w:t>Note that you can skip Sections 2.6 and 3.5 because we will not be discussing the infrared spectroscopy results.</w:t>
      </w:r>
    </w:p>
    <w:p w:rsidR="0039077B" w:rsidRDefault="00392A08" w:rsidP="000C78FE">
      <w:pPr>
        <w:pStyle w:val="ListParagraph"/>
        <w:numPr>
          <w:ilvl w:val="0"/>
          <w:numId w:val="1"/>
        </w:numPr>
        <w:spacing w:line="240" w:lineRule="auto"/>
        <w:ind w:left="360"/>
        <w:sectPr w:rsidR="0039077B" w:rsidSect="00227D49">
          <w:headerReference w:type="default" r:id="rId8"/>
          <w:footerReference w:type="default" r:id="rId9"/>
          <w:pgSz w:w="12240" w:h="15840"/>
          <w:pgMar w:top="1440" w:right="1440" w:bottom="1440" w:left="1440" w:header="720" w:footer="720" w:gutter="0"/>
          <w:cols w:space="720"/>
          <w:docGrid w:linePitch="360"/>
        </w:sectPr>
      </w:pPr>
      <w:r>
        <w:t xml:space="preserve">Because this article deals with a microbiological and geochemical application, </w:t>
      </w:r>
      <w:r w:rsidR="000C78FE">
        <w:t>you</w:t>
      </w:r>
      <w:r>
        <w:t xml:space="preserve"> need to familiarize </w:t>
      </w:r>
      <w:r w:rsidR="000C78FE">
        <w:t>yourself</w:t>
      </w:r>
      <w:r>
        <w:t xml:space="preserve"> with a few terms. </w:t>
      </w:r>
      <w:r w:rsidR="0039077B">
        <w:t xml:space="preserve">Match the following terms with </w:t>
      </w:r>
      <w:r w:rsidR="003A130D">
        <w:t>their definitions/descriptions.</w:t>
      </w:r>
    </w:p>
    <w:p w:rsidR="0039077B" w:rsidRDefault="0039077B" w:rsidP="000C78FE">
      <w:pPr>
        <w:spacing w:line="336" w:lineRule="auto"/>
        <w:ind w:left="720"/>
      </w:pPr>
      <w:r>
        <w:lastRenderedPageBreak/>
        <w:t xml:space="preserve">______ </w:t>
      </w:r>
      <w:proofErr w:type="spellStart"/>
      <w:r>
        <w:t>autotropic</w:t>
      </w:r>
      <w:proofErr w:type="spellEnd"/>
    </w:p>
    <w:p w:rsidR="0039077B" w:rsidRDefault="0039077B" w:rsidP="000C78FE">
      <w:pPr>
        <w:spacing w:line="336" w:lineRule="auto"/>
        <w:ind w:left="720"/>
      </w:pPr>
      <w:r>
        <w:t>______ oligotrophic</w:t>
      </w:r>
    </w:p>
    <w:p w:rsidR="0039077B" w:rsidRDefault="0039077B" w:rsidP="000C78FE">
      <w:pPr>
        <w:spacing w:line="336" w:lineRule="auto"/>
        <w:ind w:left="720"/>
      </w:pPr>
      <w:r>
        <w:t>______ pelagic</w:t>
      </w:r>
    </w:p>
    <w:p w:rsidR="0039077B" w:rsidRDefault="0039077B" w:rsidP="000C78FE">
      <w:pPr>
        <w:spacing w:line="336" w:lineRule="auto"/>
        <w:ind w:left="720"/>
      </w:pPr>
      <w:r>
        <w:t>______ calcite</w:t>
      </w:r>
    </w:p>
    <w:p w:rsidR="00420A18" w:rsidRDefault="00420A18" w:rsidP="000C78FE">
      <w:pPr>
        <w:spacing w:line="336" w:lineRule="auto"/>
        <w:ind w:left="720"/>
      </w:pPr>
      <w:r>
        <w:t>______ electrophoretic mobility</w:t>
      </w:r>
    </w:p>
    <w:p w:rsidR="0039077B" w:rsidRDefault="0039077B" w:rsidP="000C78FE">
      <w:pPr>
        <w:spacing w:line="336" w:lineRule="auto"/>
        <w:ind w:left="720"/>
      </w:pPr>
      <w:r>
        <w:t>______ zeta potential</w:t>
      </w:r>
    </w:p>
    <w:p w:rsidR="00420A18" w:rsidRDefault="00420A18" w:rsidP="000C78FE">
      <w:pPr>
        <w:spacing w:line="336" w:lineRule="auto"/>
        <w:ind w:left="720"/>
      </w:pPr>
      <w:r>
        <w:lastRenderedPageBreak/>
        <w:t>______ peptidoglycan</w:t>
      </w:r>
    </w:p>
    <w:p w:rsidR="0039077B" w:rsidRDefault="0039077B" w:rsidP="000C78FE">
      <w:pPr>
        <w:spacing w:line="336" w:lineRule="auto"/>
        <w:ind w:left="720"/>
      </w:pPr>
      <w:r>
        <w:t>______ picocyanobacteria</w:t>
      </w:r>
    </w:p>
    <w:p w:rsidR="0039077B" w:rsidRDefault="0039077B" w:rsidP="000C78FE">
      <w:pPr>
        <w:spacing w:line="336" w:lineRule="auto"/>
        <w:ind w:left="720"/>
      </w:pPr>
      <w:r>
        <w:t>______ picoplankton</w:t>
      </w:r>
    </w:p>
    <w:p w:rsidR="0039077B" w:rsidRDefault="0039077B" w:rsidP="000C78FE">
      <w:pPr>
        <w:spacing w:line="336" w:lineRule="auto"/>
        <w:ind w:left="720"/>
      </w:pPr>
      <w:r>
        <w:t xml:space="preserve">______ </w:t>
      </w:r>
      <w:proofErr w:type="spellStart"/>
      <w:r>
        <w:rPr>
          <w:i/>
        </w:rPr>
        <w:t>Synechococcus</w:t>
      </w:r>
      <w:proofErr w:type="spellEnd"/>
    </w:p>
    <w:p w:rsidR="0039077B" w:rsidRDefault="0039077B" w:rsidP="000C78FE">
      <w:pPr>
        <w:spacing w:line="336" w:lineRule="auto"/>
        <w:ind w:left="720"/>
      </w:pPr>
      <w:r>
        <w:t xml:space="preserve">______ </w:t>
      </w:r>
      <w:proofErr w:type="spellStart"/>
      <w:r>
        <w:t>phycocyanin</w:t>
      </w:r>
      <w:proofErr w:type="spellEnd"/>
    </w:p>
    <w:p w:rsidR="0039077B" w:rsidRPr="0039077B" w:rsidRDefault="0039077B" w:rsidP="000C78FE">
      <w:pPr>
        <w:spacing w:line="336" w:lineRule="auto"/>
        <w:ind w:left="720"/>
      </w:pPr>
      <w:r>
        <w:t xml:space="preserve">______ </w:t>
      </w:r>
      <w:proofErr w:type="spellStart"/>
      <w:r>
        <w:t>phycoerythrin</w:t>
      </w:r>
      <w:proofErr w:type="spellEnd"/>
    </w:p>
    <w:p w:rsidR="0039077B" w:rsidRDefault="0039077B" w:rsidP="000C78FE">
      <w:pPr>
        <w:spacing w:line="336" w:lineRule="auto"/>
        <w:sectPr w:rsidR="0039077B" w:rsidSect="0039077B">
          <w:type w:val="continuous"/>
          <w:pgSz w:w="12240" w:h="15840"/>
          <w:pgMar w:top="1440" w:right="1440" w:bottom="1440" w:left="1440" w:header="720" w:footer="720" w:gutter="0"/>
          <w:cols w:num="2" w:space="720"/>
          <w:docGrid w:linePitch="360"/>
        </w:sectPr>
      </w:pPr>
    </w:p>
    <w:p w:rsidR="0039077B" w:rsidRDefault="0039077B" w:rsidP="000C78FE">
      <w:pPr>
        <w:tabs>
          <w:tab w:val="left" w:pos="900"/>
        </w:tabs>
        <w:spacing w:line="240" w:lineRule="auto"/>
        <w:ind w:left="720" w:hanging="360"/>
      </w:pPr>
      <w:r>
        <w:lastRenderedPageBreak/>
        <w:t>A)</w:t>
      </w:r>
      <w:r w:rsidR="00420A18">
        <w:tab/>
      </w:r>
      <w:r w:rsidR="00392A08">
        <w:t>“self-feeding”</w:t>
      </w:r>
      <w:r w:rsidR="00420A18">
        <w:t xml:space="preserve"> using energy from light or chemical reactions</w:t>
      </w:r>
    </w:p>
    <w:p w:rsidR="00727325" w:rsidRDefault="0039077B" w:rsidP="000C78FE">
      <w:pPr>
        <w:tabs>
          <w:tab w:val="left" w:pos="900"/>
        </w:tabs>
        <w:spacing w:line="240" w:lineRule="auto"/>
        <w:ind w:left="720" w:hanging="360"/>
      </w:pPr>
      <w:r>
        <w:t>B)</w:t>
      </w:r>
      <w:r w:rsidR="00420A18">
        <w:tab/>
        <w:t>the most stable crystal form of CaCO</w:t>
      </w:r>
      <w:r w:rsidR="00420A18" w:rsidRPr="00420A18">
        <w:rPr>
          <w:vertAlign w:val="subscript"/>
        </w:rPr>
        <w:t>3</w:t>
      </w:r>
    </w:p>
    <w:p w:rsidR="00727325" w:rsidRDefault="0039077B" w:rsidP="000C78FE">
      <w:pPr>
        <w:tabs>
          <w:tab w:val="left" w:pos="900"/>
        </w:tabs>
        <w:spacing w:line="240" w:lineRule="auto"/>
        <w:ind w:left="720" w:hanging="360"/>
      </w:pPr>
      <w:r>
        <w:t>C)</w:t>
      </w:r>
      <w:r w:rsidR="00420A18">
        <w:tab/>
      </w:r>
      <w:r w:rsidR="009F69E0">
        <w:t>used to describe living systems</w:t>
      </w:r>
      <w:r w:rsidR="00420A18">
        <w:t xml:space="preserve"> in open </w:t>
      </w:r>
      <w:r w:rsidR="008279F8">
        <w:t>water</w:t>
      </w:r>
    </w:p>
    <w:p w:rsidR="00727325" w:rsidRDefault="0039077B" w:rsidP="000C78FE">
      <w:pPr>
        <w:tabs>
          <w:tab w:val="left" w:pos="900"/>
        </w:tabs>
        <w:spacing w:line="240" w:lineRule="auto"/>
        <w:ind w:left="720" w:hanging="360"/>
      </w:pPr>
      <w:r>
        <w:t>D)</w:t>
      </w:r>
      <w:r w:rsidR="00420A18">
        <w:tab/>
        <w:t>a protein complex in blue-green algae</w:t>
      </w:r>
    </w:p>
    <w:p w:rsidR="00727325" w:rsidRDefault="0039077B" w:rsidP="000C78FE">
      <w:pPr>
        <w:tabs>
          <w:tab w:val="left" w:pos="900"/>
        </w:tabs>
        <w:spacing w:line="240" w:lineRule="auto"/>
        <w:ind w:left="720" w:hanging="360"/>
      </w:pPr>
      <w:r>
        <w:t>E)</w:t>
      </w:r>
      <w:r w:rsidR="00420A18">
        <w:tab/>
        <w:t>a protein complex in red algae</w:t>
      </w:r>
    </w:p>
    <w:p w:rsidR="00727325" w:rsidRDefault="0039077B" w:rsidP="000C78FE">
      <w:pPr>
        <w:tabs>
          <w:tab w:val="left" w:pos="900"/>
        </w:tabs>
        <w:spacing w:line="240" w:lineRule="auto"/>
        <w:ind w:left="720" w:hanging="360"/>
      </w:pPr>
      <w:r>
        <w:t>F)</w:t>
      </w:r>
      <w:r w:rsidR="00420A18">
        <w:tab/>
      </w:r>
      <w:r w:rsidR="009F69E0">
        <w:t>the polymer that forms the bacterial cell wall and is composed of sugars and proteins</w:t>
      </w:r>
    </w:p>
    <w:p w:rsidR="0039077B" w:rsidRDefault="0039077B" w:rsidP="000C78FE">
      <w:pPr>
        <w:tabs>
          <w:tab w:val="left" w:pos="900"/>
        </w:tabs>
        <w:spacing w:line="240" w:lineRule="auto"/>
        <w:ind w:left="720" w:hanging="360"/>
      </w:pPr>
      <w:r>
        <w:t>G)</w:t>
      </w:r>
      <w:r w:rsidR="00420A18">
        <w:tab/>
      </w:r>
      <w:r w:rsidR="009F69E0">
        <w:t>the smallest organisms in the water column that are</w:t>
      </w:r>
      <w:r w:rsidR="00392A08">
        <w:t xml:space="preserve"> incapable of swimming against</w:t>
      </w:r>
      <w:r w:rsidR="009F69E0">
        <w:t xml:space="preserve"> current</w:t>
      </w:r>
    </w:p>
    <w:p w:rsidR="0039077B" w:rsidRDefault="0039077B" w:rsidP="000C78FE">
      <w:pPr>
        <w:tabs>
          <w:tab w:val="left" w:pos="900"/>
        </w:tabs>
        <w:spacing w:line="240" w:lineRule="auto"/>
        <w:ind w:left="720" w:hanging="360"/>
      </w:pPr>
      <w:r>
        <w:t>H)</w:t>
      </w:r>
      <w:r w:rsidR="009F69E0">
        <w:tab/>
        <w:t>a general name for photosynthetic bacteria with diameters &lt; 3 µm</w:t>
      </w:r>
    </w:p>
    <w:p w:rsidR="0039077B" w:rsidRDefault="0039077B" w:rsidP="000C78FE">
      <w:pPr>
        <w:tabs>
          <w:tab w:val="left" w:pos="900"/>
        </w:tabs>
        <w:spacing w:line="240" w:lineRule="auto"/>
        <w:ind w:left="720" w:hanging="360"/>
      </w:pPr>
      <w:r>
        <w:t>I)</w:t>
      </w:r>
      <w:r w:rsidR="009F69E0">
        <w:tab/>
        <w:t>a specific genus of photosynthetic bacteria commonly found in marine environments</w:t>
      </w:r>
    </w:p>
    <w:p w:rsidR="0039077B" w:rsidRDefault="0039077B" w:rsidP="000C78FE">
      <w:pPr>
        <w:tabs>
          <w:tab w:val="left" w:pos="900"/>
        </w:tabs>
        <w:spacing w:line="240" w:lineRule="auto"/>
        <w:ind w:left="720" w:hanging="360"/>
      </w:pPr>
      <w:r>
        <w:t>J)</w:t>
      </w:r>
      <w:r w:rsidR="009F69E0" w:rsidRPr="009F69E0">
        <w:t xml:space="preserve"> </w:t>
      </w:r>
      <w:r w:rsidR="009F69E0">
        <w:tab/>
        <w:t>capable of living in a low-nutrient environment</w:t>
      </w:r>
    </w:p>
    <w:p w:rsidR="00420A18" w:rsidRDefault="00420A18" w:rsidP="000C78FE">
      <w:pPr>
        <w:tabs>
          <w:tab w:val="left" w:pos="900"/>
        </w:tabs>
        <w:spacing w:line="240" w:lineRule="auto"/>
        <w:ind w:left="720" w:hanging="360"/>
      </w:pPr>
      <w:r>
        <w:t>K)</w:t>
      </w:r>
      <w:r w:rsidR="009F69E0">
        <w:tab/>
        <w:t>the electric potential difference between the surface of a particle and the medium around it that arises from net electrical charge on the particle’s surface</w:t>
      </w:r>
    </w:p>
    <w:p w:rsidR="00420A18" w:rsidRDefault="00420A18" w:rsidP="000C78FE">
      <w:pPr>
        <w:tabs>
          <w:tab w:val="left" w:pos="900"/>
        </w:tabs>
        <w:spacing w:line="240" w:lineRule="auto"/>
        <w:ind w:left="720" w:hanging="360"/>
      </w:pPr>
      <w:r>
        <w:t>L)</w:t>
      </w:r>
      <w:r w:rsidR="009F69E0">
        <w:tab/>
        <w:t>a measure of how much an electric field affects the migration of a particle</w:t>
      </w:r>
    </w:p>
    <w:p w:rsidR="009F69E0" w:rsidRDefault="009F69E0" w:rsidP="000C78FE">
      <w:pPr>
        <w:pStyle w:val="ListParagraph"/>
        <w:numPr>
          <w:ilvl w:val="0"/>
          <w:numId w:val="1"/>
        </w:numPr>
        <w:spacing w:line="240" w:lineRule="auto"/>
        <w:ind w:left="360"/>
      </w:pPr>
      <w:r>
        <w:lastRenderedPageBreak/>
        <w:t>In the abstract of the article, mark which sentences correspond to (1) background information and significance, (2) methodological details, (3</w:t>
      </w:r>
      <w:r w:rsidR="003A130D">
        <w:t>) results, and (4) conclusions.</w:t>
      </w:r>
    </w:p>
    <w:p w:rsidR="00392A08" w:rsidRPr="009F69E0" w:rsidRDefault="00392A08" w:rsidP="000C78FE">
      <w:pPr>
        <w:pStyle w:val="ListParagraph"/>
        <w:spacing w:line="240" w:lineRule="auto"/>
        <w:ind w:left="360"/>
      </w:pPr>
    </w:p>
    <w:p w:rsidR="00333C25" w:rsidRDefault="00616F43" w:rsidP="000C78FE">
      <w:pPr>
        <w:pStyle w:val="ListParagraph"/>
        <w:numPr>
          <w:ilvl w:val="0"/>
          <w:numId w:val="1"/>
        </w:numPr>
        <w:spacing w:line="240" w:lineRule="auto"/>
        <w:ind w:left="360"/>
      </w:pPr>
      <w:r>
        <w:t>In your own words, describe w</w:t>
      </w:r>
      <w:r w:rsidR="0027073C">
        <w:t xml:space="preserve">hy the surface chemistry of picocyanobacteria </w:t>
      </w:r>
      <w:r>
        <w:t>is an important area of research.</w:t>
      </w:r>
    </w:p>
    <w:p w:rsidR="00727325" w:rsidRDefault="00727325" w:rsidP="000C78FE">
      <w:pPr>
        <w:spacing w:line="240" w:lineRule="auto"/>
      </w:pPr>
    </w:p>
    <w:p w:rsidR="00727325" w:rsidRDefault="00727325" w:rsidP="000C78FE">
      <w:pPr>
        <w:spacing w:line="240" w:lineRule="auto"/>
      </w:pPr>
    </w:p>
    <w:p w:rsidR="0027073C" w:rsidRDefault="0027073C" w:rsidP="000C78FE">
      <w:pPr>
        <w:spacing w:line="240" w:lineRule="auto"/>
      </w:pPr>
    </w:p>
    <w:p w:rsidR="0027073C" w:rsidRDefault="0027073C" w:rsidP="000C78FE">
      <w:pPr>
        <w:spacing w:line="240" w:lineRule="auto"/>
      </w:pPr>
    </w:p>
    <w:p w:rsidR="00333C25" w:rsidRDefault="00392A08" w:rsidP="000C78FE">
      <w:pPr>
        <w:pStyle w:val="ListParagraph"/>
        <w:numPr>
          <w:ilvl w:val="0"/>
          <w:numId w:val="1"/>
        </w:numPr>
        <w:spacing w:line="240" w:lineRule="auto"/>
        <w:ind w:left="360"/>
      </w:pPr>
      <w:r>
        <w:t xml:space="preserve">Research and summarize the major </w:t>
      </w:r>
      <w:r w:rsidR="0027073C">
        <w:t>difference between Gram negative and Gram positive bacteria</w:t>
      </w:r>
      <w:r>
        <w:t>.</w:t>
      </w:r>
      <w:r w:rsidR="0027073C">
        <w:t xml:space="preserve"> How might this difference affect the surface properties of these two types of cells?</w:t>
      </w:r>
    </w:p>
    <w:p w:rsidR="00727325" w:rsidRDefault="00727325" w:rsidP="000C78FE">
      <w:pPr>
        <w:spacing w:line="240" w:lineRule="auto"/>
      </w:pPr>
    </w:p>
    <w:p w:rsidR="00727325" w:rsidRDefault="00727325" w:rsidP="000C78FE">
      <w:pPr>
        <w:spacing w:line="240" w:lineRule="auto"/>
      </w:pPr>
    </w:p>
    <w:p w:rsidR="00727325" w:rsidRDefault="00727325" w:rsidP="000C78FE">
      <w:pPr>
        <w:spacing w:line="240" w:lineRule="auto"/>
      </w:pPr>
    </w:p>
    <w:p w:rsidR="0027073C" w:rsidRDefault="0027073C" w:rsidP="000C78FE">
      <w:pPr>
        <w:spacing w:line="240" w:lineRule="auto"/>
      </w:pPr>
    </w:p>
    <w:p w:rsidR="000C78FE" w:rsidRDefault="000C78FE" w:rsidP="000C78FE">
      <w:pPr>
        <w:spacing w:line="240" w:lineRule="auto"/>
      </w:pPr>
    </w:p>
    <w:p w:rsidR="000C78FE" w:rsidRDefault="000C78FE" w:rsidP="000C78FE">
      <w:pPr>
        <w:spacing w:line="240" w:lineRule="auto"/>
      </w:pPr>
    </w:p>
    <w:p w:rsidR="0027073C" w:rsidRDefault="0027073C" w:rsidP="000C78FE">
      <w:pPr>
        <w:spacing w:line="240" w:lineRule="auto"/>
      </w:pPr>
    </w:p>
    <w:p w:rsidR="00333C25" w:rsidRDefault="0027073C" w:rsidP="000C78FE">
      <w:pPr>
        <w:pStyle w:val="ListParagraph"/>
        <w:numPr>
          <w:ilvl w:val="0"/>
          <w:numId w:val="1"/>
        </w:numPr>
        <w:spacing w:line="240" w:lineRule="auto"/>
        <w:ind w:left="360"/>
      </w:pPr>
      <w:r>
        <w:t>Re-read the final paragraphs of the introduction. What specific question/problem is being addressed in this article?</w:t>
      </w:r>
    </w:p>
    <w:p w:rsidR="00727325" w:rsidRDefault="00727325" w:rsidP="000C78FE">
      <w:pPr>
        <w:spacing w:line="240" w:lineRule="auto"/>
      </w:pPr>
    </w:p>
    <w:p w:rsidR="00727325" w:rsidRDefault="00727325" w:rsidP="000C78FE">
      <w:pPr>
        <w:spacing w:line="240" w:lineRule="auto"/>
      </w:pPr>
    </w:p>
    <w:p w:rsidR="00727325" w:rsidRDefault="00727325" w:rsidP="000C78FE">
      <w:pPr>
        <w:spacing w:line="240" w:lineRule="auto"/>
      </w:pPr>
    </w:p>
    <w:p w:rsidR="0027073C" w:rsidRDefault="0027073C" w:rsidP="000C78FE">
      <w:pPr>
        <w:spacing w:line="240" w:lineRule="auto"/>
      </w:pPr>
    </w:p>
    <w:p w:rsidR="00727325" w:rsidRDefault="00727325" w:rsidP="000C78FE">
      <w:pPr>
        <w:spacing w:line="240" w:lineRule="auto"/>
      </w:pPr>
    </w:p>
    <w:p w:rsidR="00333C25" w:rsidRDefault="002E5BCB" w:rsidP="000C78FE">
      <w:pPr>
        <w:pStyle w:val="ListParagraph"/>
        <w:numPr>
          <w:ilvl w:val="0"/>
          <w:numId w:val="1"/>
        </w:numPr>
        <w:spacing w:line="240" w:lineRule="auto"/>
        <w:ind w:left="360"/>
      </w:pPr>
      <w:r>
        <w:t>In Section 2.5, the authors state that the titration data will be plotted with –log[H</w:t>
      </w:r>
      <w:r w:rsidRPr="002E5BCB">
        <w:rPr>
          <w:vertAlign w:val="superscript"/>
        </w:rPr>
        <w:t>+</w:t>
      </w:r>
      <w:r>
        <w:t>] on the x-axis and C</w:t>
      </w:r>
      <w:r w:rsidRPr="002E5BCB">
        <w:rPr>
          <w:vertAlign w:val="subscript"/>
        </w:rPr>
        <w:t>A</w:t>
      </w:r>
      <w:r>
        <w:t>-C</w:t>
      </w:r>
      <w:r w:rsidRPr="002E5BCB">
        <w:rPr>
          <w:vertAlign w:val="subscript"/>
        </w:rPr>
        <w:t>B</w:t>
      </w:r>
      <w:r>
        <w:t>-[H</w:t>
      </w:r>
      <w:r w:rsidRPr="002E5BCB">
        <w:rPr>
          <w:vertAlign w:val="superscript"/>
        </w:rPr>
        <w:t>+</w:t>
      </w:r>
      <w:r>
        <w:t>]+K</w:t>
      </w:r>
      <w:r w:rsidRPr="002E5BCB">
        <w:rPr>
          <w:vertAlign w:val="subscript"/>
        </w:rPr>
        <w:t>w</w:t>
      </w:r>
      <w:r>
        <w:t>/[H</w:t>
      </w:r>
      <w:r w:rsidRPr="002E5BCB">
        <w:rPr>
          <w:vertAlign w:val="superscript"/>
        </w:rPr>
        <w:t>+</w:t>
      </w:r>
      <w:r>
        <w:t>] on the y-axis.</w:t>
      </w:r>
      <w:r w:rsidR="00DE5FBF">
        <w:t xml:space="preserve"> </w:t>
      </w:r>
      <w:r w:rsidR="000C78FE">
        <w:t xml:space="preserve">Assuming that </w:t>
      </w:r>
      <w:r w:rsidR="000C78FE">
        <w:rPr>
          <w:rFonts w:ascii="Georgia" w:hAnsi="Georgia"/>
        </w:rPr>
        <w:t>γ</w:t>
      </w:r>
      <w:r w:rsidR="000C78FE">
        <w:t xml:space="preserve"> =1 (i.e., that activity is equal to concentration), fill in the blanks below.</w:t>
      </w:r>
      <w:r>
        <w:br/>
      </w:r>
    </w:p>
    <w:p w:rsidR="002E5BCB" w:rsidRDefault="002E5BCB" w:rsidP="000C78FE">
      <w:pPr>
        <w:pStyle w:val="ListParagraph"/>
        <w:numPr>
          <w:ilvl w:val="1"/>
          <w:numId w:val="1"/>
        </w:numPr>
        <w:spacing w:line="240" w:lineRule="auto"/>
      </w:pPr>
      <w:r>
        <w:t>–log[H</w:t>
      </w:r>
      <w:r w:rsidRPr="002E5BCB">
        <w:rPr>
          <w:vertAlign w:val="superscript"/>
        </w:rPr>
        <w:t>+</w:t>
      </w:r>
      <w:r>
        <w:t xml:space="preserve">] </w:t>
      </w:r>
      <w:r w:rsidR="000C78FE">
        <w:t xml:space="preserve">= ________ </w:t>
      </w:r>
      <w:r>
        <w:br/>
      </w:r>
    </w:p>
    <w:p w:rsidR="002E5BCB" w:rsidRDefault="002E5BCB" w:rsidP="000C78FE">
      <w:pPr>
        <w:pStyle w:val="ListParagraph"/>
        <w:numPr>
          <w:ilvl w:val="1"/>
          <w:numId w:val="1"/>
        </w:numPr>
        <w:spacing w:line="240" w:lineRule="auto"/>
      </w:pPr>
      <w:r>
        <w:t>K</w:t>
      </w:r>
      <w:r w:rsidRPr="002E5BCB">
        <w:rPr>
          <w:vertAlign w:val="subscript"/>
        </w:rPr>
        <w:t>w</w:t>
      </w:r>
      <w:r>
        <w:t>/[H</w:t>
      </w:r>
      <w:r w:rsidRPr="002E5BCB">
        <w:rPr>
          <w:vertAlign w:val="superscript"/>
        </w:rPr>
        <w:t>+</w:t>
      </w:r>
      <w:r>
        <w:t xml:space="preserve">] </w:t>
      </w:r>
      <w:r w:rsidR="000C78FE">
        <w:t>= ________</w:t>
      </w:r>
      <w:r w:rsidR="00A53024">
        <w:br/>
      </w:r>
    </w:p>
    <w:p w:rsidR="00333C25" w:rsidRDefault="00A53024" w:rsidP="000C78FE">
      <w:pPr>
        <w:pStyle w:val="ListParagraph"/>
        <w:numPr>
          <w:ilvl w:val="0"/>
          <w:numId w:val="1"/>
        </w:numPr>
        <w:spacing w:line="240" w:lineRule="auto"/>
        <w:ind w:left="360"/>
      </w:pPr>
      <w:r>
        <w:lastRenderedPageBreak/>
        <w:t>In their modeling of the data, w</w:t>
      </w:r>
      <w:r w:rsidR="00333C25">
        <w:t xml:space="preserve">hat </w:t>
      </w:r>
      <w:r>
        <w:t>assumption do the authors make about surface charge on the bacteria</w:t>
      </w:r>
      <w:r w:rsidR="00333C25">
        <w:t>?</w:t>
      </w:r>
    </w:p>
    <w:p w:rsidR="00727325" w:rsidRDefault="00727325" w:rsidP="000C78FE">
      <w:pPr>
        <w:spacing w:line="240" w:lineRule="auto"/>
      </w:pPr>
    </w:p>
    <w:p w:rsidR="000C78FE" w:rsidRDefault="000C78FE" w:rsidP="000C78FE">
      <w:pPr>
        <w:spacing w:line="240" w:lineRule="auto"/>
      </w:pPr>
    </w:p>
    <w:p w:rsidR="000C78FE" w:rsidRDefault="000C78FE" w:rsidP="000C78FE">
      <w:pPr>
        <w:spacing w:line="240" w:lineRule="auto"/>
      </w:pPr>
    </w:p>
    <w:p w:rsidR="00333C25" w:rsidRDefault="00AA2272" w:rsidP="000C78FE">
      <w:pPr>
        <w:pStyle w:val="ListParagraph"/>
        <w:numPr>
          <w:ilvl w:val="0"/>
          <w:numId w:val="1"/>
        </w:numPr>
        <w:spacing w:line="240" w:lineRule="auto"/>
        <w:ind w:left="360"/>
      </w:pPr>
      <w:r>
        <w:t>On Figure 1, circle the isoelectric point of the bacteria. How do you know that this is the isoelectric point?</w:t>
      </w:r>
    </w:p>
    <w:p w:rsidR="007F17DB" w:rsidRDefault="007F17DB" w:rsidP="000C78FE">
      <w:pPr>
        <w:spacing w:line="240" w:lineRule="auto"/>
      </w:pPr>
    </w:p>
    <w:p w:rsidR="005E2D58" w:rsidRDefault="005E2D58" w:rsidP="000C78FE">
      <w:pPr>
        <w:spacing w:line="240" w:lineRule="auto"/>
      </w:pPr>
    </w:p>
    <w:p w:rsidR="000C78FE" w:rsidRDefault="000C78FE" w:rsidP="000C78FE">
      <w:pPr>
        <w:spacing w:line="240" w:lineRule="auto"/>
      </w:pPr>
    </w:p>
    <w:p w:rsidR="006B3E3C" w:rsidRDefault="00DB7C3C" w:rsidP="000C78FE">
      <w:pPr>
        <w:pStyle w:val="ListParagraph"/>
        <w:numPr>
          <w:ilvl w:val="0"/>
          <w:numId w:val="1"/>
        </w:numPr>
        <w:spacing w:line="240" w:lineRule="auto"/>
        <w:ind w:left="360"/>
      </w:pPr>
      <w:r>
        <w:t xml:space="preserve">Based on their modeling results, the authors identify three separate </w:t>
      </w:r>
      <w:proofErr w:type="spellStart"/>
      <w:r>
        <w:t>p</w:t>
      </w:r>
      <w:r w:rsidRPr="000C78FE">
        <w:rPr>
          <w:i/>
        </w:rPr>
        <w:t>K</w:t>
      </w:r>
      <w:r w:rsidRPr="000C78FE">
        <w:rPr>
          <w:vertAlign w:val="subscript"/>
        </w:rPr>
        <w:t>a</w:t>
      </w:r>
      <w:proofErr w:type="spellEnd"/>
      <w:r>
        <w:t xml:space="preserve"> values associated with the picocyanobacteria surface. Fill in the table below to match the range of fitted </w:t>
      </w:r>
      <w:proofErr w:type="spellStart"/>
      <w:r>
        <w:t>p</w:t>
      </w:r>
      <w:r w:rsidRPr="000C78FE">
        <w:rPr>
          <w:i/>
        </w:rPr>
        <w:t>K</w:t>
      </w:r>
      <w:r w:rsidRPr="000C78FE">
        <w:rPr>
          <w:vertAlign w:val="subscript"/>
        </w:rPr>
        <w:t>a</w:t>
      </w:r>
      <w:proofErr w:type="spellEnd"/>
      <w:r>
        <w:t xml:space="preserve"> values with the most likely </w:t>
      </w:r>
      <w:r w:rsidR="003A130D">
        <w:t>corresponding functional group.</w:t>
      </w:r>
    </w:p>
    <w:tbl>
      <w:tblPr>
        <w:tblStyle w:val="TableGrid"/>
        <w:tblW w:w="0" w:type="auto"/>
        <w:jc w:val="center"/>
        <w:tblLook w:val="04A0" w:firstRow="1" w:lastRow="0" w:firstColumn="1" w:lastColumn="0" w:noHBand="0" w:noVBand="1"/>
      </w:tblPr>
      <w:tblGrid>
        <w:gridCol w:w="4032"/>
        <w:gridCol w:w="4788"/>
      </w:tblGrid>
      <w:tr w:rsidR="00851F64" w:rsidRPr="00851F64" w:rsidTr="000C78FE">
        <w:trPr>
          <w:jc w:val="center"/>
        </w:trPr>
        <w:tc>
          <w:tcPr>
            <w:tcW w:w="4032" w:type="dxa"/>
          </w:tcPr>
          <w:p w:rsidR="00851F64" w:rsidRPr="00851F64" w:rsidRDefault="00851F64" w:rsidP="000C78FE">
            <w:pPr>
              <w:jc w:val="center"/>
              <w:rPr>
                <w:b/>
              </w:rPr>
            </w:pPr>
            <w:r>
              <w:rPr>
                <w:b/>
              </w:rPr>
              <w:t>Approximate</w:t>
            </w:r>
            <w:r w:rsidRPr="00851F64">
              <w:rPr>
                <w:b/>
              </w:rPr>
              <w:t xml:space="preserve"> Fitted </w:t>
            </w:r>
            <w:proofErr w:type="spellStart"/>
            <w:r w:rsidRPr="00851F64">
              <w:rPr>
                <w:b/>
              </w:rPr>
              <w:t>p</w:t>
            </w:r>
            <w:r w:rsidRPr="00D361FC">
              <w:rPr>
                <w:b/>
                <w:i/>
              </w:rPr>
              <w:t>K</w:t>
            </w:r>
            <w:r w:rsidRPr="00851F64">
              <w:rPr>
                <w:b/>
                <w:vertAlign w:val="subscript"/>
              </w:rPr>
              <w:t>a</w:t>
            </w:r>
            <w:proofErr w:type="spellEnd"/>
            <w:r w:rsidRPr="00851F64">
              <w:rPr>
                <w:b/>
              </w:rPr>
              <w:t xml:space="preserve"> Value</w:t>
            </w:r>
          </w:p>
        </w:tc>
        <w:tc>
          <w:tcPr>
            <w:tcW w:w="4788" w:type="dxa"/>
          </w:tcPr>
          <w:p w:rsidR="00851F64" w:rsidRPr="00851F64" w:rsidRDefault="00851F64" w:rsidP="000C78FE">
            <w:pPr>
              <w:jc w:val="center"/>
              <w:rPr>
                <w:b/>
              </w:rPr>
            </w:pPr>
            <w:r>
              <w:rPr>
                <w:b/>
              </w:rPr>
              <w:t>Corresponding Functional Group</w:t>
            </w:r>
          </w:p>
        </w:tc>
      </w:tr>
      <w:tr w:rsidR="00851F64" w:rsidTr="000C78FE">
        <w:trPr>
          <w:trHeight w:val="504"/>
          <w:jc w:val="center"/>
        </w:trPr>
        <w:tc>
          <w:tcPr>
            <w:tcW w:w="4032" w:type="dxa"/>
            <w:vAlign w:val="center"/>
          </w:tcPr>
          <w:p w:rsidR="00851F64" w:rsidRDefault="00851F64" w:rsidP="000C78FE">
            <w:pPr>
              <w:jc w:val="center"/>
            </w:pPr>
            <w:r>
              <w:t>~5</w:t>
            </w:r>
          </w:p>
        </w:tc>
        <w:tc>
          <w:tcPr>
            <w:tcW w:w="4788" w:type="dxa"/>
            <w:vAlign w:val="center"/>
          </w:tcPr>
          <w:p w:rsidR="00851F64" w:rsidRDefault="00851F64" w:rsidP="000C78FE">
            <w:pPr>
              <w:jc w:val="center"/>
            </w:pPr>
          </w:p>
        </w:tc>
      </w:tr>
      <w:tr w:rsidR="00851F64" w:rsidTr="000C78FE">
        <w:trPr>
          <w:trHeight w:val="504"/>
          <w:jc w:val="center"/>
        </w:trPr>
        <w:tc>
          <w:tcPr>
            <w:tcW w:w="4032" w:type="dxa"/>
            <w:vAlign w:val="center"/>
          </w:tcPr>
          <w:p w:rsidR="00851F64" w:rsidRDefault="00851F64" w:rsidP="000C78FE">
            <w:pPr>
              <w:jc w:val="center"/>
            </w:pPr>
            <w:r>
              <w:t>~6.5</w:t>
            </w:r>
          </w:p>
        </w:tc>
        <w:tc>
          <w:tcPr>
            <w:tcW w:w="4788" w:type="dxa"/>
            <w:vAlign w:val="center"/>
          </w:tcPr>
          <w:p w:rsidR="00851F64" w:rsidRDefault="00851F64" w:rsidP="000C78FE">
            <w:pPr>
              <w:jc w:val="center"/>
            </w:pPr>
          </w:p>
        </w:tc>
      </w:tr>
      <w:tr w:rsidR="00851F64" w:rsidTr="000C78FE">
        <w:trPr>
          <w:trHeight w:val="504"/>
          <w:jc w:val="center"/>
        </w:trPr>
        <w:tc>
          <w:tcPr>
            <w:tcW w:w="4032" w:type="dxa"/>
            <w:vAlign w:val="center"/>
          </w:tcPr>
          <w:p w:rsidR="00851F64" w:rsidRDefault="00851F64" w:rsidP="000C78FE">
            <w:pPr>
              <w:jc w:val="center"/>
            </w:pPr>
          </w:p>
        </w:tc>
        <w:tc>
          <w:tcPr>
            <w:tcW w:w="4788" w:type="dxa"/>
            <w:vAlign w:val="center"/>
          </w:tcPr>
          <w:p w:rsidR="00851F64" w:rsidRDefault="00851F64" w:rsidP="000C78FE">
            <w:pPr>
              <w:jc w:val="center"/>
            </w:pPr>
            <w:r>
              <w:t>amine</w:t>
            </w:r>
          </w:p>
        </w:tc>
      </w:tr>
    </w:tbl>
    <w:p w:rsidR="00851F64" w:rsidRDefault="00851F64" w:rsidP="000C78FE">
      <w:pPr>
        <w:spacing w:after="0" w:line="240" w:lineRule="auto"/>
      </w:pPr>
    </w:p>
    <w:p w:rsidR="00F64DCF" w:rsidRDefault="00F64DCF" w:rsidP="000C78FE">
      <w:pPr>
        <w:pStyle w:val="ListParagraph"/>
        <w:numPr>
          <w:ilvl w:val="0"/>
          <w:numId w:val="1"/>
        </w:numPr>
        <w:spacing w:line="240" w:lineRule="auto"/>
        <w:ind w:left="360"/>
      </w:pPr>
      <w:r>
        <w:t xml:space="preserve">The inflection points at the three </w:t>
      </w:r>
      <w:proofErr w:type="spellStart"/>
      <w:r>
        <w:t>p</w:t>
      </w:r>
      <w:r w:rsidRPr="000C78FE">
        <w:rPr>
          <w:i/>
        </w:rPr>
        <w:t>K</w:t>
      </w:r>
      <w:r w:rsidRPr="000C78FE">
        <w:rPr>
          <w:vertAlign w:val="subscript"/>
        </w:rPr>
        <w:t>a</w:t>
      </w:r>
      <w:proofErr w:type="spellEnd"/>
      <w:r>
        <w:t xml:space="preserve"> values are very weak, making them impossible to identify accurately without modeling. What explanation do the authors give for the weakn</w:t>
      </w:r>
      <w:r w:rsidR="003A130D">
        <w:t>ess of these inflection points?</w:t>
      </w:r>
    </w:p>
    <w:p w:rsidR="00F64DCF" w:rsidRDefault="00F64DCF" w:rsidP="000C78FE">
      <w:pPr>
        <w:spacing w:line="240" w:lineRule="auto"/>
      </w:pPr>
    </w:p>
    <w:p w:rsidR="00F64DCF" w:rsidRDefault="00F64DCF" w:rsidP="000C78FE">
      <w:pPr>
        <w:spacing w:line="240" w:lineRule="auto"/>
      </w:pPr>
    </w:p>
    <w:p w:rsidR="000C78FE" w:rsidRDefault="000C78FE" w:rsidP="000C78FE">
      <w:pPr>
        <w:spacing w:line="240" w:lineRule="auto"/>
      </w:pPr>
    </w:p>
    <w:p w:rsidR="00A24CA4" w:rsidRDefault="00A24CA4" w:rsidP="000C78FE">
      <w:pPr>
        <w:spacing w:line="240" w:lineRule="auto"/>
      </w:pPr>
    </w:p>
    <w:p w:rsidR="00392A08" w:rsidRDefault="00A24CA4" w:rsidP="000C78FE">
      <w:pPr>
        <w:pStyle w:val="ListParagraph"/>
        <w:numPr>
          <w:ilvl w:val="0"/>
          <w:numId w:val="1"/>
        </w:numPr>
        <w:spacing w:line="240" w:lineRule="auto"/>
        <w:ind w:left="360"/>
      </w:pPr>
      <w:r>
        <w:t xml:space="preserve">Note that </w:t>
      </w:r>
      <w:r w:rsidR="000C78FE">
        <w:t xml:space="preserve">generally </w:t>
      </w:r>
      <w:r>
        <w:t xml:space="preserve">the conclusion section </w:t>
      </w:r>
      <w:r w:rsidR="006B3E3C">
        <w:t>of an article should</w:t>
      </w:r>
      <w:r>
        <w:t xml:space="preserve"> not just summarize the paper. Instead, the conclusion </w:t>
      </w:r>
      <w:r w:rsidR="000C78FE">
        <w:t>might address</w:t>
      </w:r>
      <w:r>
        <w:t xml:space="preserve"> (1) questions that remain to be answered about </w:t>
      </w:r>
      <w:r w:rsidR="006B3E3C">
        <w:t>the</w:t>
      </w:r>
      <w:r>
        <w:t xml:space="preserve"> data, (2) potential future experiments, (3) limitations of </w:t>
      </w:r>
      <w:r w:rsidR="006B3E3C">
        <w:t>the work, and/or (4) the broader significance of the results</w:t>
      </w:r>
      <w:r>
        <w:t xml:space="preserve">. Give </w:t>
      </w:r>
      <w:r w:rsidR="006B3E3C">
        <w:t>an</w:t>
      </w:r>
      <w:r>
        <w:t xml:space="preserve"> example of one of these from the conclusion</w:t>
      </w:r>
      <w:r w:rsidR="006B3E3C">
        <w:t xml:space="preserve"> of this paper</w:t>
      </w:r>
      <w:r w:rsidR="003A130D">
        <w:t>.</w:t>
      </w:r>
      <w:r w:rsidR="00392A08">
        <w:br w:type="page"/>
      </w:r>
    </w:p>
    <w:p w:rsidR="00392A08" w:rsidRPr="00392A08" w:rsidRDefault="00392A08" w:rsidP="000C78FE">
      <w:pPr>
        <w:spacing w:line="240" w:lineRule="auto"/>
        <w:jc w:val="center"/>
        <w:rPr>
          <w:b/>
        </w:rPr>
      </w:pPr>
      <w:r>
        <w:rPr>
          <w:b/>
        </w:rPr>
        <w:lastRenderedPageBreak/>
        <w:t>In-Class Questions</w:t>
      </w:r>
    </w:p>
    <w:p w:rsidR="00392A08" w:rsidRDefault="003A130D" w:rsidP="000C78FE">
      <w:pPr>
        <w:pStyle w:val="ListParagraph"/>
        <w:numPr>
          <w:ilvl w:val="0"/>
          <w:numId w:val="2"/>
        </w:numPr>
        <w:spacing w:line="240" w:lineRule="auto"/>
        <w:ind w:left="360"/>
      </w:pPr>
      <w:r>
        <w:t xml:space="preserve">Prior to the titrations, the authors washed the cells in a solution of 1 mM EDTA and then resuspended them in </w:t>
      </w:r>
      <w:r w:rsidRPr="003A130D">
        <w:t>NaNO</w:t>
      </w:r>
      <w:r w:rsidRPr="003A130D">
        <w:rPr>
          <w:vertAlign w:val="subscript"/>
        </w:rPr>
        <w:t>3</w:t>
      </w:r>
      <w:r>
        <w:t>. Both the NaNO</w:t>
      </w:r>
      <w:r w:rsidRPr="003A130D">
        <w:rPr>
          <w:vertAlign w:val="subscript"/>
        </w:rPr>
        <w:t>3</w:t>
      </w:r>
      <w:r>
        <w:t xml:space="preserve"> and the NaOH used in the titration experiments were degassed with N</w:t>
      </w:r>
      <w:r w:rsidRPr="003A130D">
        <w:rPr>
          <w:vertAlign w:val="subscript"/>
        </w:rPr>
        <w:t>2</w:t>
      </w:r>
      <w:r>
        <w:t xml:space="preserve"> before use. What was the purpose of each of these steps</w:t>
      </w:r>
      <w:r w:rsidR="003441E4">
        <w:t>, and why were they necessary</w:t>
      </w:r>
      <w:r>
        <w:t>?</w:t>
      </w:r>
    </w:p>
    <w:p w:rsidR="003A130D" w:rsidRDefault="003A130D" w:rsidP="000C78FE">
      <w:pPr>
        <w:pStyle w:val="ListParagraph"/>
        <w:spacing w:line="240" w:lineRule="auto"/>
        <w:ind w:left="360"/>
      </w:pPr>
    </w:p>
    <w:p w:rsidR="00392A08" w:rsidRDefault="00392A08" w:rsidP="000C78FE">
      <w:pPr>
        <w:pStyle w:val="ListParagraph"/>
        <w:numPr>
          <w:ilvl w:val="0"/>
          <w:numId w:val="2"/>
        </w:numPr>
        <w:spacing w:line="240" w:lineRule="auto"/>
        <w:ind w:left="360"/>
      </w:pPr>
      <w:r>
        <w:t>When interpreting Figures 2-4, it will be helpful to consider how these plots differ from typical plots of titrations.</w:t>
      </w:r>
    </w:p>
    <w:p w:rsidR="00392A08" w:rsidRDefault="00392A08" w:rsidP="000C78FE">
      <w:pPr>
        <w:pStyle w:val="ListParagraph"/>
        <w:numPr>
          <w:ilvl w:val="1"/>
          <w:numId w:val="2"/>
        </w:numPr>
        <w:spacing w:line="240" w:lineRule="auto"/>
        <w:ind w:left="720"/>
      </w:pPr>
      <w:r>
        <w:t>Have we typically plotted pH on the x- or y-axis? How doe</w:t>
      </w:r>
      <w:r w:rsidR="003A130D">
        <w:t>s that compare to these plots?</w:t>
      </w:r>
    </w:p>
    <w:p w:rsidR="00392A08" w:rsidRDefault="00392A08" w:rsidP="000C78FE">
      <w:pPr>
        <w:pStyle w:val="ListParagraph"/>
        <w:numPr>
          <w:ilvl w:val="1"/>
          <w:numId w:val="2"/>
        </w:numPr>
        <w:spacing w:line="240" w:lineRule="auto"/>
        <w:ind w:left="720"/>
      </w:pPr>
      <w:r>
        <w:t>What have we plotted on the other axis? How is that diffe</w:t>
      </w:r>
      <w:r w:rsidR="003A130D">
        <w:t>rent from what is plotted here?</w:t>
      </w:r>
    </w:p>
    <w:p w:rsidR="00A54A51" w:rsidRDefault="00392A08" w:rsidP="00A54A51">
      <w:pPr>
        <w:pStyle w:val="ListParagraph"/>
        <w:numPr>
          <w:ilvl w:val="1"/>
          <w:numId w:val="2"/>
        </w:numPr>
        <w:spacing w:line="240" w:lineRule="auto"/>
        <w:ind w:left="720"/>
      </w:pPr>
      <w:r>
        <w:t>We know that ultimately the charges must balance, so where is this “excess” [H</w:t>
      </w:r>
      <w:r w:rsidRPr="00A54A51">
        <w:rPr>
          <w:vertAlign w:val="superscript"/>
        </w:rPr>
        <w:t>+</w:t>
      </w:r>
      <w:r>
        <w:t xml:space="preserve">] coming from? What is being deprotonated </w:t>
      </w:r>
      <w:r w:rsidR="003A130D">
        <w:t>to release these hydrogen ions?</w:t>
      </w:r>
    </w:p>
    <w:p w:rsidR="00392A08" w:rsidRDefault="00392A08" w:rsidP="00A54A51">
      <w:pPr>
        <w:pStyle w:val="ListParagraph"/>
        <w:numPr>
          <w:ilvl w:val="1"/>
          <w:numId w:val="2"/>
        </w:numPr>
        <w:spacing w:line="240" w:lineRule="auto"/>
        <w:ind w:left="720"/>
      </w:pPr>
      <w:r>
        <w:t xml:space="preserve">How do the bacteria contribute </w:t>
      </w:r>
      <w:r w:rsidR="00A54A51">
        <w:t>to the buffering of the system, i.e. how is this possible?</w:t>
      </w:r>
    </w:p>
    <w:p w:rsidR="003A130D" w:rsidRDefault="003A130D" w:rsidP="000C78FE">
      <w:pPr>
        <w:pStyle w:val="ListParagraph"/>
        <w:spacing w:line="240" w:lineRule="auto"/>
        <w:ind w:left="360"/>
      </w:pPr>
    </w:p>
    <w:p w:rsidR="003A130D" w:rsidRDefault="00392A08" w:rsidP="000C78FE">
      <w:pPr>
        <w:pStyle w:val="ListParagraph"/>
        <w:numPr>
          <w:ilvl w:val="0"/>
          <w:numId w:val="2"/>
        </w:numPr>
        <w:spacing w:line="240" w:lineRule="auto"/>
        <w:ind w:left="360"/>
      </w:pPr>
      <w:r>
        <w:t xml:space="preserve">For the third </w:t>
      </w:r>
      <w:proofErr w:type="spellStart"/>
      <w:r>
        <w:t>p</w:t>
      </w:r>
      <w:r w:rsidRPr="000C78FE">
        <w:rPr>
          <w:i/>
        </w:rPr>
        <w:t>K</w:t>
      </w:r>
      <w:r w:rsidRPr="003A130D">
        <w:rPr>
          <w:vertAlign w:val="subscript"/>
        </w:rPr>
        <w:t>a</w:t>
      </w:r>
      <w:proofErr w:type="spellEnd"/>
      <w:r>
        <w:t xml:space="preserve"> value (p</w:t>
      </w:r>
      <w:r w:rsidRPr="000C78FE">
        <w:rPr>
          <w:i/>
        </w:rPr>
        <w:t>K</w:t>
      </w:r>
      <w:r w:rsidRPr="003A130D">
        <w:rPr>
          <w:vertAlign w:val="subscript"/>
        </w:rPr>
        <w:t>3</w:t>
      </w:r>
      <w:r>
        <w:t xml:space="preserve"> in the manuscript), the authors state that either amine or hydroxyl functionality could give rise to the observed </w:t>
      </w:r>
      <w:proofErr w:type="spellStart"/>
      <w:r>
        <w:t>p</w:t>
      </w:r>
      <w:r w:rsidRPr="000C78FE">
        <w:rPr>
          <w:i/>
        </w:rPr>
        <w:t>K</w:t>
      </w:r>
      <w:r w:rsidRPr="003A130D">
        <w:rPr>
          <w:vertAlign w:val="subscript"/>
        </w:rPr>
        <w:t>a</w:t>
      </w:r>
      <w:proofErr w:type="spellEnd"/>
      <w:r w:rsidR="001742CE" w:rsidRPr="001742CE">
        <w:t xml:space="preserve"> value</w:t>
      </w:r>
      <w:r>
        <w:t xml:space="preserve">, but they conclude based on the zeta potential measurements that this </w:t>
      </w:r>
      <w:proofErr w:type="spellStart"/>
      <w:r>
        <w:t>p</w:t>
      </w:r>
      <w:r w:rsidRPr="000C78FE">
        <w:rPr>
          <w:i/>
        </w:rPr>
        <w:t>K</w:t>
      </w:r>
      <w:r w:rsidRPr="003A130D">
        <w:rPr>
          <w:vertAlign w:val="subscript"/>
        </w:rPr>
        <w:t>a</w:t>
      </w:r>
      <w:proofErr w:type="spellEnd"/>
      <w:r>
        <w:t xml:space="preserve"> corresponds to amine groups on the cell surface. </w:t>
      </w:r>
      <w:r w:rsidR="003A130D">
        <w:t>Sketch the protonation reactions for a generic amine and a generic hydroxyl group in aqueous solution. Use your sketches to explain the authors’ reasoning.</w:t>
      </w:r>
    </w:p>
    <w:p w:rsidR="003A130D" w:rsidRDefault="003A130D" w:rsidP="000C78FE">
      <w:pPr>
        <w:pStyle w:val="ListParagraph"/>
        <w:spacing w:line="240" w:lineRule="auto"/>
        <w:ind w:left="360"/>
      </w:pPr>
    </w:p>
    <w:p w:rsidR="00392A08" w:rsidRDefault="000C78FE" w:rsidP="000C78FE">
      <w:pPr>
        <w:pStyle w:val="ListParagraph"/>
        <w:numPr>
          <w:ilvl w:val="0"/>
          <w:numId w:val="2"/>
        </w:numPr>
        <w:spacing w:line="240" w:lineRule="auto"/>
        <w:ind w:left="360"/>
      </w:pPr>
      <w:r>
        <w:t>A related article (</w:t>
      </w:r>
      <w:proofErr w:type="spellStart"/>
      <w:r>
        <w:rPr>
          <w:i/>
        </w:rPr>
        <w:t>Aquat</w:t>
      </w:r>
      <w:proofErr w:type="spellEnd"/>
      <w:r>
        <w:rPr>
          <w:i/>
        </w:rPr>
        <w:t>. Sci.</w:t>
      </w:r>
      <w:r>
        <w:t xml:space="preserve">, </w:t>
      </w:r>
      <w:r>
        <w:rPr>
          <w:b/>
        </w:rPr>
        <w:t>2004</w:t>
      </w:r>
      <w:r>
        <w:t xml:space="preserve">, </w:t>
      </w:r>
      <w:r>
        <w:rPr>
          <w:i/>
        </w:rPr>
        <w:t>66</w:t>
      </w:r>
      <w:r>
        <w:t xml:space="preserve">, 19-26) critiques studies like this one, in which a cell suspension is titrated. </w:t>
      </w:r>
      <w:r w:rsidR="00B64D95">
        <w:t xml:space="preserve">In the related article, </w:t>
      </w:r>
      <w:proofErr w:type="spellStart"/>
      <w:r w:rsidRPr="000C78FE">
        <w:t>Claessens</w:t>
      </w:r>
      <w:proofErr w:type="spellEnd"/>
      <w:r>
        <w:t xml:space="preserve"> </w:t>
      </w:r>
      <w:r w:rsidRPr="000C78FE">
        <w:rPr>
          <w:i/>
        </w:rPr>
        <w:t>et al</w:t>
      </w:r>
      <w:r>
        <w:t>. argue that because cells are dynamic, living systems, they respond differently to titrant than a chemical solution of weak acid or weak base would respond.</w:t>
      </w:r>
      <w:r w:rsidR="00392A08">
        <w:t xml:space="preserve"> </w:t>
      </w:r>
      <w:r w:rsidR="00B64D95">
        <w:t xml:space="preserve">For example, in addition to the chemical process of protonation or deprotonation, cells may also respond with metabolic activity or biochemical reactions, including pumping of protons across the cell membrane, unfolding of cell wall proteins, cell lysis, etc. As a result, </w:t>
      </w:r>
      <w:proofErr w:type="spellStart"/>
      <w:r w:rsidR="00B64D95">
        <w:t>Claessens</w:t>
      </w:r>
      <w:proofErr w:type="spellEnd"/>
      <w:r w:rsidR="00B64D95">
        <w:t xml:space="preserve"> </w:t>
      </w:r>
      <w:r w:rsidR="00B64D95">
        <w:rPr>
          <w:i/>
        </w:rPr>
        <w:t>et al.</w:t>
      </w:r>
      <w:r w:rsidR="00B64D95">
        <w:t xml:space="preserve"> suggest that titration data does not necessarily just reflect the acid-base surface chemistry of bacterial assemblies. </w:t>
      </w:r>
      <w:r w:rsidR="00392A08">
        <w:t xml:space="preserve">If you were a program officer at a funding agency, would you provide financial </w:t>
      </w:r>
      <w:bookmarkStart w:id="0" w:name="_GoBack"/>
      <w:bookmarkEnd w:id="0"/>
      <w:r w:rsidR="00392A08">
        <w:t xml:space="preserve">support for further studies like </w:t>
      </w:r>
      <w:r w:rsidR="00B64D95">
        <w:t>the one you read</w:t>
      </w:r>
      <w:r w:rsidR="00392A08">
        <w:t xml:space="preserve">? </w:t>
      </w:r>
      <w:r w:rsidR="00B64D95">
        <w:t>Consider the authors’ purpose, as you described it in out-of-class questions 3 and 5, and justify your answer.</w:t>
      </w:r>
    </w:p>
    <w:p w:rsidR="00392A08" w:rsidRDefault="00392A08" w:rsidP="000C78FE">
      <w:pPr>
        <w:spacing w:line="240" w:lineRule="auto"/>
      </w:pPr>
    </w:p>
    <w:p w:rsidR="004E38FF" w:rsidRPr="004E38FF" w:rsidRDefault="004E38FF" w:rsidP="000C78FE">
      <w:pPr>
        <w:spacing w:line="240" w:lineRule="auto"/>
      </w:pPr>
    </w:p>
    <w:sectPr w:rsidR="004E38FF" w:rsidRPr="004E38FF" w:rsidSect="00AA2272">
      <w:headerReference w:type="default" r:id="rId1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769" w:rsidRDefault="00464769" w:rsidP="00AA2272">
      <w:pPr>
        <w:spacing w:after="0" w:line="240" w:lineRule="auto"/>
      </w:pPr>
      <w:r>
        <w:separator/>
      </w:r>
    </w:p>
  </w:endnote>
  <w:endnote w:type="continuationSeparator" w:id="0">
    <w:p w:rsidR="00464769" w:rsidRDefault="00464769" w:rsidP="00AA2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179848"/>
      <w:docPartObj>
        <w:docPartGallery w:val="Page Numbers (Bottom of Page)"/>
        <w:docPartUnique/>
      </w:docPartObj>
    </w:sdtPr>
    <w:sdtEndPr/>
    <w:sdtContent>
      <w:sdt>
        <w:sdtPr>
          <w:id w:val="565050477"/>
          <w:docPartObj>
            <w:docPartGallery w:val="Page Numbers (Top of Page)"/>
            <w:docPartUnique/>
          </w:docPartObj>
        </w:sdtPr>
        <w:sdtEndPr/>
        <w:sdtContent>
          <w:p w:rsidR="00F64DCF" w:rsidRDefault="00F64DCF">
            <w:pPr>
              <w:pStyle w:val="Footer"/>
              <w:jc w:val="center"/>
            </w:pPr>
            <w:r>
              <w:t xml:space="preserve">Page </w:t>
            </w:r>
            <w:r>
              <w:rPr>
                <w:b/>
              </w:rPr>
              <w:fldChar w:fldCharType="begin"/>
            </w:r>
            <w:r>
              <w:rPr>
                <w:b/>
              </w:rPr>
              <w:instrText xml:space="preserve"> PAGE </w:instrText>
            </w:r>
            <w:r>
              <w:rPr>
                <w:b/>
              </w:rPr>
              <w:fldChar w:fldCharType="separate"/>
            </w:r>
            <w:r w:rsidR="001742CE">
              <w:rPr>
                <w:b/>
                <w:noProof/>
              </w:rPr>
              <w:t>4</w:t>
            </w:r>
            <w:r>
              <w:rPr>
                <w:b/>
              </w:rPr>
              <w:fldChar w:fldCharType="end"/>
            </w:r>
            <w:r>
              <w:t xml:space="preserve"> of </w:t>
            </w:r>
            <w:r>
              <w:rPr>
                <w:b/>
              </w:rPr>
              <w:fldChar w:fldCharType="begin"/>
            </w:r>
            <w:r>
              <w:rPr>
                <w:b/>
              </w:rPr>
              <w:instrText xml:space="preserve"> NUMPAGES  </w:instrText>
            </w:r>
            <w:r>
              <w:rPr>
                <w:b/>
              </w:rPr>
              <w:fldChar w:fldCharType="separate"/>
            </w:r>
            <w:r w:rsidR="001742CE">
              <w:rPr>
                <w:b/>
                <w:noProof/>
              </w:rPr>
              <w:t>4</w:t>
            </w:r>
            <w:r>
              <w:rPr>
                <w:b/>
              </w:rPr>
              <w:fldChar w:fldCharType="end"/>
            </w:r>
          </w:p>
        </w:sdtContent>
      </w:sdt>
    </w:sdtContent>
  </w:sdt>
  <w:p w:rsidR="00F64DCF" w:rsidRDefault="00F64D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769" w:rsidRDefault="00464769" w:rsidP="00AA2272">
      <w:pPr>
        <w:spacing w:after="0" w:line="240" w:lineRule="auto"/>
      </w:pPr>
      <w:r>
        <w:separator/>
      </w:r>
    </w:p>
  </w:footnote>
  <w:footnote w:type="continuationSeparator" w:id="0">
    <w:p w:rsidR="00464769" w:rsidRDefault="00464769" w:rsidP="00AA2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272" w:rsidRDefault="00616F43">
    <w:pPr>
      <w:pStyle w:val="Header"/>
    </w:pPr>
    <w:r>
      <w:t>Name:</w:t>
    </w:r>
    <w:r>
      <w:ptab w:relativeTo="margin" w:alignment="center" w:leader="none"/>
    </w:r>
    <w:r>
      <w:t>Article Assignment</w:t>
    </w:r>
    <w:r>
      <w:ptab w:relativeTo="margin" w:alignment="right" w:leader="none"/>
    </w:r>
    <w:r>
      <w:t>Acid-Base Chemistry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272" w:rsidRDefault="00AA2272">
    <w:pPr>
      <w:pStyle w:val="Header"/>
    </w:pPr>
  </w:p>
  <w:p w:rsidR="00AA2272" w:rsidRDefault="00AA22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F796A"/>
    <w:multiLevelType w:val="hybridMultilevel"/>
    <w:tmpl w:val="148EE2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6933C0"/>
    <w:multiLevelType w:val="hybridMultilevel"/>
    <w:tmpl w:val="34FAEA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C25"/>
    <w:rsid w:val="00000F44"/>
    <w:rsid w:val="0008638A"/>
    <w:rsid w:val="00095AD1"/>
    <w:rsid w:val="000C78FE"/>
    <w:rsid w:val="00136728"/>
    <w:rsid w:val="00144DB5"/>
    <w:rsid w:val="001742CE"/>
    <w:rsid w:val="00192611"/>
    <w:rsid w:val="001B10A3"/>
    <w:rsid w:val="00227D49"/>
    <w:rsid w:val="0027073C"/>
    <w:rsid w:val="002E5BCB"/>
    <w:rsid w:val="00333C25"/>
    <w:rsid w:val="003441E4"/>
    <w:rsid w:val="0039077B"/>
    <w:rsid w:val="00392A08"/>
    <w:rsid w:val="003A130D"/>
    <w:rsid w:val="00420A18"/>
    <w:rsid w:val="00464769"/>
    <w:rsid w:val="00476BD9"/>
    <w:rsid w:val="004E38FF"/>
    <w:rsid w:val="0057147C"/>
    <w:rsid w:val="005843BD"/>
    <w:rsid w:val="005A7EB3"/>
    <w:rsid w:val="005E2D58"/>
    <w:rsid w:val="005E6AC2"/>
    <w:rsid w:val="00616F43"/>
    <w:rsid w:val="006B3E3C"/>
    <w:rsid w:val="00701524"/>
    <w:rsid w:val="00727325"/>
    <w:rsid w:val="00792415"/>
    <w:rsid w:val="007B7833"/>
    <w:rsid w:val="007F17DB"/>
    <w:rsid w:val="008279F8"/>
    <w:rsid w:val="00851F64"/>
    <w:rsid w:val="00881E94"/>
    <w:rsid w:val="009945F2"/>
    <w:rsid w:val="009F69E0"/>
    <w:rsid w:val="00A24CA4"/>
    <w:rsid w:val="00A348A2"/>
    <w:rsid w:val="00A53024"/>
    <w:rsid w:val="00A54A51"/>
    <w:rsid w:val="00A804C2"/>
    <w:rsid w:val="00AA2272"/>
    <w:rsid w:val="00AB58BE"/>
    <w:rsid w:val="00B64D95"/>
    <w:rsid w:val="00D17DFF"/>
    <w:rsid w:val="00D361FC"/>
    <w:rsid w:val="00D66971"/>
    <w:rsid w:val="00D92102"/>
    <w:rsid w:val="00DB7C3C"/>
    <w:rsid w:val="00DE3361"/>
    <w:rsid w:val="00DE5FBF"/>
    <w:rsid w:val="00F21A33"/>
    <w:rsid w:val="00F61E2B"/>
    <w:rsid w:val="00F64DCF"/>
    <w:rsid w:val="00FD4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D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C25"/>
    <w:pPr>
      <w:ind w:left="720"/>
      <w:contextualSpacing/>
    </w:pPr>
  </w:style>
  <w:style w:type="paragraph" w:styleId="Header">
    <w:name w:val="header"/>
    <w:basedOn w:val="Normal"/>
    <w:link w:val="HeaderChar"/>
    <w:uiPriority w:val="99"/>
    <w:unhideWhenUsed/>
    <w:rsid w:val="00AA2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272"/>
  </w:style>
  <w:style w:type="paragraph" w:styleId="Footer">
    <w:name w:val="footer"/>
    <w:basedOn w:val="Normal"/>
    <w:link w:val="FooterChar"/>
    <w:uiPriority w:val="99"/>
    <w:unhideWhenUsed/>
    <w:rsid w:val="00AA2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272"/>
  </w:style>
  <w:style w:type="paragraph" w:styleId="BalloonText">
    <w:name w:val="Balloon Text"/>
    <w:basedOn w:val="Normal"/>
    <w:link w:val="BalloonTextChar"/>
    <w:uiPriority w:val="99"/>
    <w:semiHidden/>
    <w:unhideWhenUsed/>
    <w:rsid w:val="00AA2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272"/>
    <w:rPr>
      <w:rFonts w:ascii="Tahoma" w:hAnsi="Tahoma" w:cs="Tahoma"/>
      <w:sz w:val="16"/>
      <w:szCs w:val="16"/>
    </w:rPr>
  </w:style>
  <w:style w:type="table" w:styleId="TableGrid">
    <w:name w:val="Table Grid"/>
    <w:basedOn w:val="TableNormal"/>
    <w:uiPriority w:val="59"/>
    <w:rsid w:val="00851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D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C25"/>
    <w:pPr>
      <w:ind w:left="720"/>
      <w:contextualSpacing/>
    </w:pPr>
  </w:style>
  <w:style w:type="paragraph" w:styleId="Header">
    <w:name w:val="header"/>
    <w:basedOn w:val="Normal"/>
    <w:link w:val="HeaderChar"/>
    <w:uiPriority w:val="99"/>
    <w:unhideWhenUsed/>
    <w:rsid w:val="00AA2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272"/>
  </w:style>
  <w:style w:type="paragraph" w:styleId="Footer">
    <w:name w:val="footer"/>
    <w:basedOn w:val="Normal"/>
    <w:link w:val="FooterChar"/>
    <w:uiPriority w:val="99"/>
    <w:unhideWhenUsed/>
    <w:rsid w:val="00AA2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272"/>
  </w:style>
  <w:style w:type="paragraph" w:styleId="BalloonText">
    <w:name w:val="Balloon Text"/>
    <w:basedOn w:val="Normal"/>
    <w:link w:val="BalloonTextChar"/>
    <w:uiPriority w:val="99"/>
    <w:semiHidden/>
    <w:unhideWhenUsed/>
    <w:rsid w:val="00AA2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272"/>
    <w:rPr>
      <w:rFonts w:ascii="Tahoma" w:hAnsi="Tahoma" w:cs="Tahoma"/>
      <w:sz w:val="16"/>
      <w:szCs w:val="16"/>
    </w:rPr>
  </w:style>
  <w:style w:type="table" w:styleId="TableGrid">
    <w:name w:val="Table Grid"/>
    <w:basedOn w:val="TableNormal"/>
    <w:uiPriority w:val="59"/>
    <w:rsid w:val="00851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1100</TotalTime>
  <Pages>4</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Michelle Kovarik</cp:lastModifiedBy>
  <cp:revision>15</cp:revision>
  <cp:lastPrinted>2014-10-23T16:01:00Z</cp:lastPrinted>
  <dcterms:created xsi:type="dcterms:W3CDTF">2014-09-05T13:32:00Z</dcterms:created>
  <dcterms:modified xsi:type="dcterms:W3CDTF">2015-06-01T15:32:00Z</dcterms:modified>
</cp:coreProperties>
</file>