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6A5D5" w14:textId="62048776" w:rsidR="00D22A28" w:rsidRDefault="00D22A28" w:rsidP="00D22A28">
      <w:pPr>
        <w:jc w:val="center"/>
        <w:rPr>
          <w:b/>
        </w:rPr>
      </w:pPr>
      <w:r>
        <w:rPr>
          <w:b/>
        </w:rPr>
        <w:t>Out-of-Class Questions</w:t>
      </w:r>
    </w:p>
    <w:p w14:paraId="56948996" w14:textId="0CCB8512" w:rsidR="00BA5ACD" w:rsidRDefault="00436BF4">
      <w:r>
        <w:rPr>
          <w:b/>
        </w:rPr>
        <w:t>Article</w:t>
      </w:r>
      <w:r w:rsidR="00A24CA4">
        <w:rPr>
          <w:b/>
        </w:rPr>
        <w:t xml:space="preserve">: </w:t>
      </w:r>
      <w:r w:rsidR="00C62DB1">
        <w:t>B.</w:t>
      </w:r>
      <w:r>
        <w:t xml:space="preserve"> </w:t>
      </w:r>
      <w:r w:rsidR="00C62DB1">
        <w:t>Wei, D.S. Malkin, and M.J. Wirth</w:t>
      </w:r>
      <w:r w:rsidR="00A24CA4">
        <w:t>,</w:t>
      </w:r>
      <w:r w:rsidR="0039077B">
        <w:t xml:space="preserve"> “</w:t>
      </w:r>
      <w:r w:rsidR="00C62DB1">
        <w:t>Plate heights below 50 nm for protein electrochromatography using silica colloidal crystals</w:t>
      </w:r>
      <w:r w:rsidR="0039077B">
        <w:t>,”</w:t>
      </w:r>
      <w:r w:rsidR="00A24CA4">
        <w:t xml:space="preserve"> </w:t>
      </w:r>
      <w:r w:rsidR="00C62DB1">
        <w:rPr>
          <w:i/>
        </w:rPr>
        <w:t>Anal. Chem</w:t>
      </w:r>
      <w:r w:rsidR="00A24CA4">
        <w:rPr>
          <w:i/>
        </w:rPr>
        <w:t>.</w:t>
      </w:r>
      <w:r w:rsidR="00A24CA4">
        <w:t xml:space="preserve"> </w:t>
      </w:r>
      <w:r w:rsidR="00A24CA4">
        <w:rPr>
          <w:b/>
        </w:rPr>
        <w:t>20</w:t>
      </w:r>
      <w:r w:rsidR="00C62DB1">
        <w:rPr>
          <w:b/>
        </w:rPr>
        <w:t>10</w:t>
      </w:r>
      <w:r w:rsidR="00A24CA4">
        <w:t xml:space="preserve">, </w:t>
      </w:r>
      <w:r w:rsidR="0039077B">
        <w:rPr>
          <w:i/>
        </w:rPr>
        <w:t>8</w:t>
      </w:r>
      <w:r w:rsidR="00C62DB1">
        <w:rPr>
          <w:i/>
        </w:rPr>
        <w:t>2</w:t>
      </w:r>
      <w:r w:rsidR="00A24CA4">
        <w:t xml:space="preserve">, </w:t>
      </w:r>
      <w:r w:rsidR="00C62DB1">
        <w:t>10216-10221</w:t>
      </w:r>
      <w:r w:rsidR="00A24CA4">
        <w:t>.</w:t>
      </w:r>
      <w:r w:rsidR="00D22A28">
        <w:t xml:space="preserve"> </w:t>
      </w:r>
    </w:p>
    <w:p w14:paraId="10C7935D" w14:textId="051ACFE2" w:rsidR="00CA65D8" w:rsidRDefault="00C62DB1" w:rsidP="009F69E0">
      <w:pPr>
        <w:pStyle w:val="ListParagraph"/>
        <w:numPr>
          <w:ilvl w:val="0"/>
          <w:numId w:val="1"/>
        </w:numPr>
        <w:ind w:left="360"/>
      </w:pPr>
      <w:r>
        <w:t>This abstract is a good example of how to present a large amount of quantitative data concisely in an abstract. Using the abstract</w:t>
      </w:r>
      <w:r w:rsidR="000568E8">
        <w:t xml:space="preserve"> </w:t>
      </w:r>
      <w:r w:rsidR="00D22A28">
        <w:t>and the body of the article as needed</w:t>
      </w:r>
      <w:r>
        <w:t>, report the following values for these experiments</w:t>
      </w:r>
      <w:r w:rsidR="00CA65D8">
        <w:t>, and compare them to typical values for HPLC</w:t>
      </w:r>
      <w:r w:rsidR="008E4E08">
        <w:t xml:space="preserve"> and CE from your text, class notes, or lab data</w:t>
      </w:r>
      <w:r w:rsidR="00D22A28">
        <w:t xml:space="preserve">. </w:t>
      </w:r>
      <w:r>
        <w:t>Don’t forget units</w:t>
      </w:r>
      <w:r w:rsidR="009A34AD">
        <w:t xml:space="preserve"> where needed</w:t>
      </w:r>
      <w:r>
        <w:t>!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2"/>
        <w:gridCol w:w="2160"/>
        <w:gridCol w:w="2160"/>
        <w:gridCol w:w="2160"/>
      </w:tblGrid>
      <w:tr w:rsidR="00BA5ACD" w:rsidRPr="00CA65D8" w14:paraId="7963AD9B" w14:textId="77777777" w:rsidTr="000568E8">
        <w:trPr>
          <w:jc w:val="center"/>
        </w:trPr>
        <w:tc>
          <w:tcPr>
            <w:tcW w:w="1582" w:type="dxa"/>
          </w:tcPr>
          <w:p w14:paraId="536D1F04" w14:textId="77777777" w:rsidR="00BA5ACD" w:rsidRPr="00CA65D8" w:rsidRDefault="00BA5ACD" w:rsidP="00CA65D8">
            <w:pPr>
              <w:jc w:val="center"/>
              <w:rPr>
                <w:b/>
              </w:rPr>
            </w:pPr>
            <w:r w:rsidRPr="00CA65D8">
              <w:rPr>
                <w:b/>
              </w:rPr>
              <w:t>Parameter</w:t>
            </w:r>
          </w:p>
        </w:tc>
        <w:tc>
          <w:tcPr>
            <w:tcW w:w="2160" w:type="dxa"/>
          </w:tcPr>
          <w:p w14:paraId="1C4BBA31" w14:textId="77777777" w:rsidR="00BA5ACD" w:rsidRPr="00CA65D8" w:rsidRDefault="00BA5ACD" w:rsidP="00CA65D8">
            <w:pPr>
              <w:jc w:val="center"/>
              <w:rPr>
                <w:b/>
              </w:rPr>
            </w:pPr>
            <w:r w:rsidRPr="00CA65D8">
              <w:rPr>
                <w:b/>
              </w:rPr>
              <w:t>This Work</w:t>
            </w:r>
          </w:p>
        </w:tc>
        <w:tc>
          <w:tcPr>
            <w:tcW w:w="2160" w:type="dxa"/>
          </w:tcPr>
          <w:p w14:paraId="2032A632" w14:textId="77777777" w:rsidR="00BA5ACD" w:rsidRPr="00CA65D8" w:rsidRDefault="00BA5ACD" w:rsidP="00CA65D8">
            <w:pPr>
              <w:jc w:val="center"/>
              <w:rPr>
                <w:b/>
              </w:rPr>
            </w:pPr>
            <w:r w:rsidRPr="00CA65D8">
              <w:rPr>
                <w:b/>
              </w:rPr>
              <w:t>Typical HPLC</w:t>
            </w:r>
          </w:p>
        </w:tc>
        <w:tc>
          <w:tcPr>
            <w:tcW w:w="2160" w:type="dxa"/>
          </w:tcPr>
          <w:p w14:paraId="521E8F13" w14:textId="77777777" w:rsidR="00BA5ACD" w:rsidRPr="00CA65D8" w:rsidRDefault="00BA5ACD" w:rsidP="00CA65D8">
            <w:pPr>
              <w:jc w:val="center"/>
              <w:rPr>
                <w:b/>
              </w:rPr>
            </w:pPr>
            <w:r>
              <w:rPr>
                <w:b/>
              </w:rPr>
              <w:t>Typical CE</w:t>
            </w:r>
          </w:p>
        </w:tc>
      </w:tr>
      <w:tr w:rsidR="00BA5ACD" w14:paraId="08C0D7D3" w14:textId="77777777" w:rsidTr="000568E8">
        <w:trPr>
          <w:trHeight w:val="576"/>
          <w:jc w:val="center"/>
        </w:trPr>
        <w:tc>
          <w:tcPr>
            <w:tcW w:w="1582" w:type="dxa"/>
            <w:vAlign w:val="center"/>
          </w:tcPr>
          <w:p w14:paraId="00080E1F" w14:textId="77777777" w:rsidR="00BA5ACD" w:rsidRDefault="00BA5ACD" w:rsidP="00CA65D8">
            <w:pPr>
              <w:jc w:val="center"/>
            </w:pPr>
            <w:r>
              <w:t>d</w:t>
            </w:r>
            <w:r w:rsidRPr="00C62DB1">
              <w:rPr>
                <w:vertAlign w:val="subscript"/>
              </w:rPr>
              <w:t>p</w:t>
            </w:r>
          </w:p>
        </w:tc>
        <w:tc>
          <w:tcPr>
            <w:tcW w:w="2160" w:type="dxa"/>
            <w:vAlign w:val="center"/>
          </w:tcPr>
          <w:p w14:paraId="501263A6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C85AD79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</w:tcPr>
          <w:p w14:paraId="5F5CDE16" w14:textId="77777777" w:rsidR="00BA5ACD" w:rsidRDefault="00BA5ACD" w:rsidP="00CA65D8">
            <w:pPr>
              <w:jc w:val="center"/>
            </w:pPr>
          </w:p>
        </w:tc>
      </w:tr>
      <w:tr w:rsidR="00BA5ACD" w14:paraId="6D38E639" w14:textId="77777777" w:rsidTr="000568E8">
        <w:trPr>
          <w:trHeight w:val="576"/>
          <w:jc w:val="center"/>
        </w:trPr>
        <w:tc>
          <w:tcPr>
            <w:tcW w:w="1582" w:type="dxa"/>
            <w:vAlign w:val="center"/>
          </w:tcPr>
          <w:p w14:paraId="6924675B" w14:textId="77777777" w:rsidR="00BA5ACD" w:rsidRDefault="00BA5ACD" w:rsidP="00CA65D8">
            <w:pPr>
              <w:jc w:val="center"/>
            </w:pPr>
            <w:r>
              <w:t>L</w:t>
            </w:r>
          </w:p>
        </w:tc>
        <w:tc>
          <w:tcPr>
            <w:tcW w:w="2160" w:type="dxa"/>
            <w:vAlign w:val="center"/>
          </w:tcPr>
          <w:p w14:paraId="349E069F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  <w:vAlign w:val="center"/>
          </w:tcPr>
          <w:p w14:paraId="2D70BF34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</w:tcPr>
          <w:p w14:paraId="596405A1" w14:textId="77777777" w:rsidR="00BA5ACD" w:rsidRDefault="00BA5ACD" w:rsidP="00CA65D8">
            <w:pPr>
              <w:jc w:val="center"/>
            </w:pPr>
          </w:p>
        </w:tc>
      </w:tr>
      <w:tr w:rsidR="00B157F5" w14:paraId="2ED0D44E" w14:textId="77777777" w:rsidTr="000568E8">
        <w:trPr>
          <w:trHeight w:val="576"/>
          <w:jc w:val="center"/>
        </w:trPr>
        <w:tc>
          <w:tcPr>
            <w:tcW w:w="1582" w:type="dxa"/>
            <w:vAlign w:val="center"/>
          </w:tcPr>
          <w:p w14:paraId="7011C693" w14:textId="1C6D723B" w:rsidR="00B157F5" w:rsidRDefault="00B157F5" w:rsidP="00CA65D8">
            <w:pPr>
              <w:jc w:val="center"/>
            </w:pPr>
            <w:r>
              <w:t>i.d.</w:t>
            </w:r>
          </w:p>
        </w:tc>
        <w:tc>
          <w:tcPr>
            <w:tcW w:w="2160" w:type="dxa"/>
            <w:vAlign w:val="center"/>
          </w:tcPr>
          <w:p w14:paraId="74FBD622" w14:textId="77777777" w:rsidR="00B157F5" w:rsidRDefault="00B157F5" w:rsidP="00CA65D8">
            <w:pPr>
              <w:jc w:val="center"/>
            </w:pPr>
          </w:p>
        </w:tc>
        <w:tc>
          <w:tcPr>
            <w:tcW w:w="2160" w:type="dxa"/>
            <w:vAlign w:val="center"/>
          </w:tcPr>
          <w:p w14:paraId="7C52C35E" w14:textId="77777777" w:rsidR="00B157F5" w:rsidRDefault="00B157F5" w:rsidP="00CA65D8">
            <w:pPr>
              <w:jc w:val="center"/>
            </w:pPr>
          </w:p>
        </w:tc>
        <w:tc>
          <w:tcPr>
            <w:tcW w:w="2160" w:type="dxa"/>
          </w:tcPr>
          <w:p w14:paraId="0E1DF872" w14:textId="77777777" w:rsidR="00B157F5" w:rsidRDefault="00B157F5" w:rsidP="00CA65D8">
            <w:pPr>
              <w:jc w:val="center"/>
            </w:pPr>
          </w:p>
        </w:tc>
      </w:tr>
      <w:tr w:rsidR="00BA5ACD" w14:paraId="420E1C63" w14:textId="77777777" w:rsidTr="000568E8">
        <w:trPr>
          <w:trHeight w:val="576"/>
          <w:jc w:val="center"/>
        </w:trPr>
        <w:tc>
          <w:tcPr>
            <w:tcW w:w="1582" w:type="dxa"/>
            <w:vAlign w:val="center"/>
          </w:tcPr>
          <w:p w14:paraId="3AE518C3" w14:textId="77777777" w:rsidR="00BA5ACD" w:rsidRDefault="00BA5ACD" w:rsidP="00CA65D8">
            <w:pPr>
              <w:jc w:val="center"/>
            </w:pPr>
            <w:r>
              <w:t>H</w:t>
            </w:r>
          </w:p>
        </w:tc>
        <w:tc>
          <w:tcPr>
            <w:tcW w:w="2160" w:type="dxa"/>
            <w:vAlign w:val="center"/>
          </w:tcPr>
          <w:p w14:paraId="01F3B4A7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  <w:vAlign w:val="center"/>
          </w:tcPr>
          <w:p w14:paraId="7D662CE7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</w:tcPr>
          <w:p w14:paraId="53D589A3" w14:textId="77777777" w:rsidR="00BA5ACD" w:rsidRDefault="00BA5ACD" w:rsidP="00CA65D8">
            <w:pPr>
              <w:jc w:val="center"/>
            </w:pPr>
          </w:p>
        </w:tc>
      </w:tr>
      <w:tr w:rsidR="00BA5ACD" w14:paraId="3BD05F92" w14:textId="77777777" w:rsidTr="000568E8">
        <w:trPr>
          <w:trHeight w:val="576"/>
          <w:jc w:val="center"/>
        </w:trPr>
        <w:tc>
          <w:tcPr>
            <w:tcW w:w="1582" w:type="dxa"/>
            <w:vAlign w:val="center"/>
          </w:tcPr>
          <w:p w14:paraId="3263EA91" w14:textId="77777777" w:rsidR="00BA5ACD" w:rsidRDefault="00BA5ACD" w:rsidP="00CA65D8">
            <w:pPr>
              <w:jc w:val="center"/>
            </w:pPr>
            <w:r>
              <w:t>N</w:t>
            </w:r>
          </w:p>
        </w:tc>
        <w:tc>
          <w:tcPr>
            <w:tcW w:w="2160" w:type="dxa"/>
            <w:vAlign w:val="center"/>
          </w:tcPr>
          <w:p w14:paraId="3E2A8608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064B415" w14:textId="77777777" w:rsidR="00BA5ACD" w:rsidRDefault="00BA5ACD" w:rsidP="00CA65D8">
            <w:pPr>
              <w:jc w:val="center"/>
            </w:pPr>
          </w:p>
        </w:tc>
        <w:tc>
          <w:tcPr>
            <w:tcW w:w="2160" w:type="dxa"/>
          </w:tcPr>
          <w:p w14:paraId="325D2E92" w14:textId="77777777" w:rsidR="00BA5ACD" w:rsidRDefault="00BA5ACD" w:rsidP="00CA65D8">
            <w:pPr>
              <w:jc w:val="center"/>
            </w:pPr>
          </w:p>
        </w:tc>
      </w:tr>
    </w:tbl>
    <w:p w14:paraId="43EF45AC" w14:textId="77777777" w:rsidR="00C62DB1" w:rsidRDefault="00C62DB1" w:rsidP="00C62DB1"/>
    <w:p w14:paraId="4D50A4F6" w14:textId="2F1F5BB5" w:rsidR="00333C25" w:rsidRDefault="009A34AD" w:rsidP="00333C25">
      <w:pPr>
        <w:pStyle w:val="ListParagraph"/>
        <w:numPr>
          <w:ilvl w:val="0"/>
          <w:numId w:val="1"/>
        </w:numPr>
        <w:ind w:left="360"/>
      </w:pPr>
      <w:r>
        <w:t>Using a form of the resolution equation, t</w:t>
      </w:r>
      <w:r w:rsidR="00C62DB1">
        <w:t xml:space="preserve">he authors remind </w:t>
      </w:r>
      <w:r w:rsidR="00D22A28">
        <w:t>the reader</w:t>
      </w:r>
      <w:r w:rsidR="00C62DB1">
        <w:t xml:space="preserve"> that there are two contributors to peak resolution.</w:t>
      </w:r>
    </w:p>
    <w:p w14:paraId="29D5442A" w14:textId="610DF004" w:rsidR="00C62DB1" w:rsidRDefault="00C62DB1" w:rsidP="00C62DB1">
      <w:pPr>
        <w:pStyle w:val="ListParagraph"/>
        <w:numPr>
          <w:ilvl w:val="1"/>
          <w:numId w:val="1"/>
        </w:numPr>
      </w:pPr>
      <w:r>
        <w:t xml:space="preserve">What are they? </w:t>
      </w:r>
    </w:p>
    <w:p w14:paraId="4E82D8C4" w14:textId="77777777" w:rsidR="00C62DB1" w:rsidRDefault="00C62DB1" w:rsidP="00C62DB1"/>
    <w:p w14:paraId="0CC2A8A7" w14:textId="6EBDAB4F" w:rsidR="00C62DB1" w:rsidRDefault="009A34AD" w:rsidP="00C62DB1">
      <w:pPr>
        <w:pStyle w:val="ListParagraph"/>
        <w:numPr>
          <w:ilvl w:val="1"/>
          <w:numId w:val="1"/>
        </w:numPr>
      </w:pPr>
      <w:r>
        <w:t>Copy equation (1) below, then c</w:t>
      </w:r>
      <w:r w:rsidR="00C62DB1">
        <w:t xml:space="preserve">ircle and label the terms that correspond to each of </w:t>
      </w:r>
      <w:r>
        <w:t>the contributors to Rs that you listed above.</w:t>
      </w:r>
      <w:r w:rsidR="00C62DB1">
        <w:t xml:space="preserve"> </w:t>
      </w:r>
    </w:p>
    <w:p w14:paraId="22CCD328" w14:textId="77777777" w:rsidR="009A34AD" w:rsidRDefault="009A34AD" w:rsidP="009A34AD"/>
    <w:p w14:paraId="26CD59C2" w14:textId="77777777" w:rsidR="009A34AD" w:rsidRDefault="009A34AD" w:rsidP="009A34AD"/>
    <w:p w14:paraId="2EF9321B" w14:textId="77777777" w:rsidR="00BA5ACD" w:rsidRDefault="00BA5ACD" w:rsidP="009A34AD"/>
    <w:p w14:paraId="29040C5A" w14:textId="2DAB6423" w:rsidR="00333C25" w:rsidRDefault="00C62DB1" w:rsidP="00333C25">
      <w:pPr>
        <w:pStyle w:val="ListParagraph"/>
        <w:numPr>
          <w:ilvl w:val="0"/>
          <w:numId w:val="1"/>
        </w:numPr>
        <w:ind w:left="360"/>
      </w:pPr>
      <w:r>
        <w:t>Why do the authors choose to target plate height as a means to improve resolution?</w:t>
      </w:r>
      <w:r w:rsidR="008E4E08">
        <w:t xml:space="preserve"> What other parameters could they have targeted?</w:t>
      </w:r>
    </w:p>
    <w:p w14:paraId="1B5AAAAB" w14:textId="77777777" w:rsidR="00727325" w:rsidRDefault="00727325" w:rsidP="00727325"/>
    <w:p w14:paraId="0F76EFFB" w14:textId="77777777" w:rsidR="00436BF4" w:rsidRDefault="00436BF4" w:rsidP="00727325"/>
    <w:p w14:paraId="1E66AD56" w14:textId="77777777" w:rsidR="00D22A28" w:rsidRDefault="00D22A28" w:rsidP="00727325"/>
    <w:p w14:paraId="730BDAFC" w14:textId="62CDA4B7" w:rsidR="00333C25" w:rsidRDefault="00C62DB1" w:rsidP="00333C25">
      <w:pPr>
        <w:pStyle w:val="ListParagraph"/>
        <w:numPr>
          <w:ilvl w:val="0"/>
          <w:numId w:val="1"/>
        </w:numPr>
        <w:ind w:left="360"/>
      </w:pPr>
      <w:r>
        <w:lastRenderedPageBreak/>
        <w:t>Based on the final paragraph of the introduction, what was the objective of this work</w:t>
      </w:r>
      <w:r w:rsidR="0027073C">
        <w:t>?</w:t>
      </w:r>
    </w:p>
    <w:p w14:paraId="28DCE844" w14:textId="77777777" w:rsidR="00727325" w:rsidRDefault="00727325" w:rsidP="00727325"/>
    <w:p w14:paraId="3DC72FC7" w14:textId="77777777" w:rsidR="00727325" w:rsidRDefault="00727325" w:rsidP="00727325"/>
    <w:p w14:paraId="1D80AC2D" w14:textId="77777777" w:rsidR="0027073C" w:rsidRPr="00333C25" w:rsidRDefault="0027073C" w:rsidP="00BA5ACD"/>
    <w:p w14:paraId="106F06A8" w14:textId="77777777" w:rsidR="00B157F5" w:rsidRDefault="00B93441" w:rsidP="00B157F5">
      <w:pPr>
        <w:pStyle w:val="ListParagraph"/>
        <w:numPr>
          <w:ilvl w:val="0"/>
          <w:numId w:val="1"/>
        </w:numPr>
        <w:ind w:left="360"/>
      </w:pPr>
      <w:r>
        <w:t>Why do the authors use an electric field, rather than pressure, to drive these separations</w:t>
      </w:r>
      <w:r w:rsidR="0027073C">
        <w:t xml:space="preserve">? </w:t>
      </w:r>
    </w:p>
    <w:p w14:paraId="6EDF0CDB" w14:textId="77777777" w:rsidR="00B157F5" w:rsidRDefault="00B157F5" w:rsidP="00B157F5"/>
    <w:p w14:paraId="4E123315" w14:textId="77777777" w:rsidR="00B157F5" w:rsidRDefault="00B157F5" w:rsidP="00B157F5"/>
    <w:p w14:paraId="2B3E9D53" w14:textId="77777777" w:rsidR="00B157F5" w:rsidRDefault="00B157F5" w:rsidP="00B157F5"/>
    <w:p w14:paraId="1C2633D3" w14:textId="77777777" w:rsidR="00B157F5" w:rsidRDefault="00B157F5" w:rsidP="00B157F5"/>
    <w:p w14:paraId="0C3B28D2" w14:textId="0E5F08BE" w:rsidR="00B157F5" w:rsidRDefault="00B157F5" w:rsidP="00B157F5">
      <w:pPr>
        <w:pStyle w:val="ListParagraph"/>
        <w:numPr>
          <w:ilvl w:val="0"/>
          <w:numId w:val="1"/>
        </w:numPr>
        <w:ind w:left="360"/>
      </w:pPr>
      <w:r>
        <w:t xml:space="preserve">The authors use silanes to polymerize the packing material and to form what is likely to be a very thin layer of short carbon chains on the surface (i.e., </w:t>
      </w:r>
      <w:r w:rsidRPr="00AD1579">
        <w:rPr>
          <w:i/>
        </w:rPr>
        <w:t>d</w:t>
      </w:r>
      <w:r w:rsidRPr="00B157F5">
        <w:rPr>
          <w:vertAlign w:val="subscript"/>
        </w:rPr>
        <w:t>f</w:t>
      </w:r>
      <w:r>
        <w:t xml:space="preserve"> is extremely low). If the stationary phase is so thin, how do the authors know that chromatography, rather than just electrophoresis, is occurring? </w:t>
      </w:r>
    </w:p>
    <w:p w14:paraId="009EE1C0" w14:textId="77777777" w:rsidR="00B157F5" w:rsidRDefault="00B157F5" w:rsidP="00B157F5"/>
    <w:p w14:paraId="28D72D20" w14:textId="77777777" w:rsidR="00B157F5" w:rsidRDefault="00B157F5" w:rsidP="00B157F5"/>
    <w:p w14:paraId="61EAFBC4" w14:textId="77777777" w:rsidR="00B157F5" w:rsidRDefault="00B157F5" w:rsidP="00B157F5"/>
    <w:p w14:paraId="1BA22F1A" w14:textId="77777777" w:rsidR="00B93441" w:rsidRDefault="00B93441" w:rsidP="00727325"/>
    <w:p w14:paraId="37F5C027" w14:textId="5AD9F355" w:rsidR="00333C25" w:rsidRDefault="00B93441" w:rsidP="00333C25">
      <w:pPr>
        <w:pStyle w:val="ListParagraph"/>
        <w:numPr>
          <w:ilvl w:val="0"/>
          <w:numId w:val="1"/>
        </w:numPr>
        <w:ind w:left="360"/>
      </w:pPr>
      <w:r>
        <w:t xml:space="preserve">Estimate the value of </w:t>
      </w:r>
      <w:r w:rsidRPr="00E5413D">
        <w:rPr>
          <w:i/>
        </w:rPr>
        <w:t>H</w:t>
      </w:r>
      <w:r>
        <w:t xml:space="preserve"> for the lysozyme peak in Figure 2. Show your work to receive credit. Does yo</w:t>
      </w:r>
      <w:r w:rsidR="00D22A28">
        <w:t>ur estimate match the authors’?</w:t>
      </w:r>
    </w:p>
    <w:p w14:paraId="69D96B7C" w14:textId="77777777" w:rsidR="00B93441" w:rsidRDefault="00B93441" w:rsidP="00B93441"/>
    <w:p w14:paraId="54FD73A6" w14:textId="77777777" w:rsidR="00B93441" w:rsidRDefault="00B93441" w:rsidP="00B93441"/>
    <w:p w14:paraId="1A4A8DF6" w14:textId="77777777" w:rsidR="00B93441" w:rsidRDefault="00B93441" w:rsidP="00B93441"/>
    <w:p w14:paraId="3934C400" w14:textId="77777777" w:rsidR="00B93441" w:rsidRDefault="00B93441" w:rsidP="00B93441"/>
    <w:p w14:paraId="384FFF3B" w14:textId="77777777" w:rsidR="00B93441" w:rsidRDefault="00B93441" w:rsidP="00B93441"/>
    <w:p w14:paraId="011F9FB9" w14:textId="77777777" w:rsidR="00D22A28" w:rsidRDefault="00D22A28" w:rsidP="00B93441"/>
    <w:p w14:paraId="6FFF3BFE" w14:textId="77777777" w:rsidR="00727325" w:rsidRDefault="00727325" w:rsidP="00727325"/>
    <w:p w14:paraId="2DAD7D01" w14:textId="77777777" w:rsidR="00727325" w:rsidRDefault="00727325" w:rsidP="00727325"/>
    <w:p w14:paraId="73A16168" w14:textId="4BC87BCC" w:rsidR="00333C25" w:rsidRDefault="00B93441" w:rsidP="00333C25">
      <w:pPr>
        <w:pStyle w:val="ListParagraph"/>
        <w:numPr>
          <w:ilvl w:val="0"/>
          <w:numId w:val="1"/>
        </w:numPr>
        <w:ind w:left="360"/>
      </w:pPr>
      <w:r>
        <w:lastRenderedPageBreak/>
        <w:t>Why is the plate height lower for these separations than for previous separations of dyes using the same packing material</w:t>
      </w:r>
      <w:r w:rsidR="00AA2272">
        <w:t>?</w:t>
      </w:r>
    </w:p>
    <w:p w14:paraId="1122CF04" w14:textId="77777777" w:rsidR="007F17DB" w:rsidRDefault="007F17DB" w:rsidP="007F17DB"/>
    <w:p w14:paraId="7F6C8638" w14:textId="77777777" w:rsidR="007F17DB" w:rsidRDefault="007F17DB" w:rsidP="007F17DB"/>
    <w:p w14:paraId="01661446" w14:textId="77777777" w:rsidR="007F17DB" w:rsidRDefault="007F17DB" w:rsidP="007F17DB"/>
    <w:p w14:paraId="442473B5" w14:textId="77777777" w:rsidR="00A348A2" w:rsidRDefault="00A348A2" w:rsidP="00A348A2"/>
    <w:p w14:paraId="4577BC06" w14:textId="61164F3E" w:rsidR="005A7EB3" w:rsidRDefault="00B93441" w:rsidP="00333C25">
      <w:pPr>
        <w:pStyle w:val="ListParagraph"/>
        <w:numPr>
          <w:ilvl w:val="0"/>
          <w:numId w:val="1"/>
        </w:numPr>
        <w:ind w:left="360"/>
      </w:pPr>
      <w:r>
        <w:t>Why does heterogeneous packing increase the plate height? What term</w:t>
      </w:r>
      <w:r w:rsidR="00B157F5">
        <w:t>(s)</w:t>
      </w:r>
      <w:r>
        <w:t xml:space="preserve"> in the van Deemter equation is</w:t>
      </w:r>
      <w:r w:rsidR="00B157F5">
        <w:t>/are</w:t>
      </w:r>
      <w:r>
        <w:t xml:space="preserve"> affected by packing inhomogeneit</w:t>
      </w:r>
      <w:r w:rsidR="00E831A9">
        <w:t>y</w:t>
      </w:r>
      <w:r>
        <w:t xml:space="preserve"> like </w:t>
      </w:r>
      <w:r w:rsidR="00E831A9">
        <w:t>that</w:t>
      </w:r>
      <w:r>
        <w:t xml:space="preserve"> seen in Figure </w:t>
      </w:r>
      <w:r w:rsidR="00DB0D1F">
        <w:t>3</w:t>
      </w:r>
      <w:r w:rsidR="00D22A28">
        <w:t>?</w:t>
      </w:r>
    </w:p>
    <w:p w14:paraId="1D750C3F" w14:textId="77777777" w:rsidR="00B93441" w:rsidRDefault="00B93441" w:rsidP="00B93441"/>
    <w:p w14:paraId="353F383A" w14:textId="77777777" w:rsidR="00D22A28" w:rsidRDefault="00D22A28" w:rsidP="00B93441"/>
    <w:p w14:paraId="555CCF81" w14:textId="77777777" w:rsidR="00D22A28" w:rsidRDefault="00D22A28" w:rsidP="00B93441"/>
    <w:p w14:paraId="64916350" w14:textId="77777777" w:rsidR="00D22A28" w:rsidRDefault="00D22A28" w:rsidP="00B93441"/>
    <w:p w14:paraId="389BD552" w14:textId="77777777" w:rsidR="00D22A28" w:rsidRDefault="00D22A28" w:rsidP="00B93441"/>
    <w:p w14:paraId="489F3CF6" w14:textId="436FF2DF" w:rsidR="006B3E3C" w:rsidRDefault="00E831A9" w:rsidP="00DB7C3C">
      <w:pPr>
        <w:pStyle w:val="ListParagraph"/>
        <w:numPr>
          <w:ilvl w:val="0"/>
          <w:numId w:val="1"/>
        </w:numPr>
        <w:ind w:left="360"/>
      </w:pPr>
      <w:r>
        <w:t>In Figure 4C, why does peak variance increase linearly with time? In other words, what proce</w:t>
      </w:r>
      <w:r w:rsidR="00D22A28">
        <w:t>ss causes this peak broadening?</w:t>
      </w:r>
    </w:p>
    <w:p w14:paraId="1FF2908C" w14:textId="77777777" w:rsidR="00E831A9" w:rsidRDefault="00E831A9" w:rsidP="00E831A9"/>
    <w:p w14:paraId="37A002E8" w14:textId="77777777" w:rsidR="00851F64" w:rsidRDefault="00851F64" w:rsidP="00851F64"/>
    <w:p w14:paraId="5D117FA6" w14:textId="77777777" w:rsidR="00F64DCF" w:rsidRDefault="00F64DCF" w:rsidP="00F64DCF"/>
    <w:p w14:paraId="035ADE6C" w14:textId="77777777" w:rsidR="00F64DCF" w:rsidRDefault="00F64DCF" w:rsidP="00F64DCF"/>
    <w:p w14:paraId="4D537BC9" w14:textId="77777777" w:rsidR="00D22A28" w:rsidRDefault="00D22A28" w:rsidP="00F64DCF"/>
    <w:p w14:paraId="17B88812" w14:textId="77777777" w:rsidR="00CA65D8" w:rsidRDefault="00CA65D8" w:rsidP="00CA65D8"/>
    <w:p w14:paraId="3FB9DBD3" w14:textId="77777777" w:rsidR="00E831A9" w:rsidRDefault="00E831A9" w:rsidP="00E831A9"/>
    <w:p w14:paraId="5833071E" w14:textId="77777777" w:rsidR="00C61A20" w:rsidRDefault="00C61A20">
      <w:r>
        <w:br w:type="page"/>
      </w:r>
    </w:p>
    <w:p w14:paraId="38A4DF18" w14:textId="77777777" w:rsidR="00E831A9" w:rsidRDefault="00C61A20" w:rsidP="00D22A28">
      <w:pPr>
        <w:jc w:val="center"/>
        <w:rPr>
          <w:b/>
        </w:rPr>
      </w:pPr>
      <w:r>
        <w:rPr>
          <w:b/>
        </w:rPr>
        <w:lastRenderedPageBreak/>
        <w:t>In-Class Questions</w:t>
      </w:r>
    </w:p>
    <w:p w14:paraId="7E2B970C" w14:textId="77777777" w:rsidR="00D22A28" w:rsidRDefault="00D22A28" w:rsidP="00D22A28">
      <w:r>
        <w:rPr>
          <w:b/>
        </w:rPr>
        <w:t xml:space="preserve">Reading Assignment 3: </w:t>
      </w:r>
      <w:r>
        <w:t xml:space="preserve">B.Wei, D.S. Malkin, and M.J. Wirth, “Plate heights below 50 nm for protein electrochromatography using silica colloidal crystals,” </w:t>
      </w:r>
      <w:r>
        <w:rPr>
          <w:i/>
        </w:rPr>
        <w:t>Anal. Chem.</w:t>
      </w:r>
      <w:r>
        <w:t xml:space="preserve"> </w:t>
      </w:r>
      <w:r>
        <w:rPr>
          <w:b/>
        </w:rPr>
        <w:t>2010</w:t>
      </w:r>
      <w:r>
        <w:t xml:space="preserve">, </w:t>
      </w:r>
      <w:r>
        <w:rPr>
          <w:i/>
        </w:rPr>
        <w:t>82</w:t>
      </w:r>
      <w:r>
        <w:t>, 10216-10221.</w:t>
      </w:r>
    </w:p>
    <w:p w14:paraId="5A811839" w14:textId="26211414" w:rsidR="00D22A28" w:rsidRDefault="00C61A20" w:rsidP="00D22A28">
      <w:pPr>
        <w:pStyle w:val="ListParagraph"/>
        <w:numPr>
          <w:ilvl w:val="0"/>
          <w:numId w:val="2"/>
        </w:numPr>
        <w:ind w:left="360"/>
      </w:pPr>
      <w:r>
        <w:t xml:space="preserve">When characterizing plate height for lysozyme in Figures 4 and 5, the authors determine the width of </w:t>
      </w:r>
      <w:r w:rsidR="000204FE">
        <w:t xml:space="preserve">the </w:t>
      </w:r>
      <w:r>
        <w:t xml:space="preserve">peak in space rather than in time. They are able to do this because they are using a camera as a detector, but why do they need to do this? </w:t>
      </w:r>
      <w:r w:rsidR="000204FE">
        <w:t xml:space="preserve">How does the width of the peak in space relate to the width of the peak in time? </w:t>
      </w:r>
      <w:r w:rsidR="00D22A28" w:rsidRPr="00D22A28">
        <w:t>How does the detector contribute to plate height in these experiments?</w:t>
      </w:r>
    </w:p>
    <w:p w14:paraId="0981F0DC" w14:textId="77777777" w:rsidR="00D22A28" w:rsidRDefault="00D22A28" w:rsidP="00D22A28">
      <w:pPr>
        <w:pStyle w:val="ListParagraph"/>
        <w:ind w:left="360"/>
      </w:pPr>
    </w:p>
    <w:p w14:paraId="69F4F097" w14:textId="230112D9" w:rsidR="000568E8" w:rsidRDefault="000568E8" w:rsidP="000568E8">
      <w:pPr>
        <w:pStyle w:val="ListParagraph"/>
        <w:numPr>
          <w:ilvl w:val="0"/>
          <w:numId w:val="2"/>
        </w:numPr>
        <w:ind w:left="360"/>
      </w:pPr>
      <w:r>
        <w:t xml:space="preserve">In discussing Figure 6, the authors assert that the </w:t>
      </w:r>
      <w:r w:rsidRPr="00E5413D">
        <w:rPr>
          <w:i/>
        </w:rPr>
        <w:t>A</w:t>
      </w:r>
      <w:r>
        <w:t xml:space="preserve"> and </w:t>
      </w:r>
      <w:r w:rsidRPr="00E5413D">
        <w:rPr>
          <w:i/>
        </w:rPr>
        <w:t>C</w:t>
      </w:r>
      <w:r>
        <w:t xml:space="preserve"> terms of the van Deemter equation are negligible for their separations. I</w:t>
      </w:r>
      <w:r w:rsidR="00C61A20">
        <w:t xml:space="preserve">n Figure 7 and the latter part of the Results &amp; Discussion, the authors address whether the extremely low plate heights observed could be due to focusing rather than to the achievement of a diffusion-limited separation. </w:t>
      </w:r>
      <w:r>
        <w:t xml:space="preserve">Why would the </w:t>
      </w:r>
      <w:r w:rsidRPr="00E5413D">
        <w:rPr>
          <w:i/>
        </w:rPr>
        <w:t>A</w:t>
      </w:r>
      <w:r>
        <w:t xml:space="preserve"> and </w:t>
      </w:r>
      <w:r w:rsidRPr="00E5413D">
        <w:rPr>
          <w:i/>
        </w:rPr>
        <w:t>C</w:t>
      </w:r>
      <w:r>
        <w:t xml:space="preserve"> terms be negligible under the conditions used in this work? What evidence supports the authors’ assertion that the efficiency of their separations is limited only by diffusion?</w:t>
      </w:r>
      <w:r>
        <w:br/>
      </w:r>
    </w:p>
    <w:p w14:paraId="27AE1FE9" w14:textId="6B1F55F7" w:rsidR="00C61A20" w:rsidRPr="00D22A28" w:rsidRDefault="00C61A20" w:rsidP="00C67C69">
      <w:pPr>
        <w:pStyle w:val="ListParagraph"/>
        <w:numPr>
          <w:ilvl w:val="0"/>
          <w:numId w:val="2"/>
        </w:numPr>
        <w:ind w:left="360"/>
        <w:rPr>
          <w:b/>
        </w:rPr>
      </w:pPr>
      <w:bookmarkStart w:id="0" w:name="_GoBack"/>
      <w:bookmarkEnd w:id="0"/>
      <w:r>
        <w:t xml:space="preserve">The </w:t>
      </w:r>
      <w:r w:rsidR="00E17B5C">
        <w:t xml:space="preserve">authors specifically state that their goal for this work was not </w:t>
      </w:r>
      <w:r w:rsidR="00922803">
        <w:t xml:space="preserve">to </w:t>
      </w:r>
      <w:r w:rsidR="00E17B5C">
        <w:t xml:space="preserve">achieve a practical method for protein separations. That would have been outside the scope of this paper because many </w:t>
      </w:r>
      <w:r>
        <w:t xml:space="preserve">practical considerations would need to be addressed before this type of packing could be made available in commercial columns. </w:t>
      </w:r>
      <w:r w:rsidR="00AB7EC7" w:rsidRPr="00AB7EC7">
        <w:t>Imagine that an instrument manufacturer wants to use columns like these in a commercial HPLC instrument</w:t>
      </w:r>
      <w:r>
        <w:t xml:space="preserve">. What changes to the instrument </w:t>
      </w:r>
      <w:r w:rsidR="00E17B5C">
        <w:t>and</w:t>
      </w:r>
      <w:r>
        <w:t xml:space="preserve"> practical improvements in the column woul</w:t>
      </w:r>
      <w:r w:rsidR="00D22A28">
        <w:t>d be needed?</w:t>
      </w:r>
    </w:p>
    <w:sectPr w:rsidR="00C61A20" w:rsidRPr="00D22A28" w:rsidSect="00AA227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45B7E" w14:textId="77777777" w:rsidR="000B0291" w:rsidRDefault="000B0291" w:rsidP="00AA2272">
      <w:pPr>
        <w:spacing w:after="0" w:line="240" w:lineRule="auto"/>
      </w:pPr>
      <w:r>
        <w:separator/>
      </w:r>
    </w:p>
  </w:endnote>
  <w:endnote w:type="continuationSeparator" w:id="0">
    <w:p w14:paraId="48BBBED8" w14:textId="77777777" w:rsidR="000B0291" w:rsidRDefault="000B0291" w:rsidP="00AA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42526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938F4B" w14:textId="77777777" w:rsidR="00BA5ACD" w:rsidRDefault="00BA5AC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67C6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67C6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3ECF927" w14:textId="77777777" w:rsidR="00BA5ACD" w:rsidRDefault="00BA5A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537504"/>
      <w:docPartObj>
        <w:docPartGallery w:val="Page Numbers (Bottom of Page)"/>
        <w:docPartUnique/>
      </w:docPartObj>
    </w:sdtPr>
    <w:sdtEndPr/>
    <w:sdtContent>
      <w:sdt>
        <w:sdtPr>
          <w:id w:val="-804616844"/>
          <w:docPartObj>
            <w:docPartGallery w:val="Page Numbers (Top of Page)"/>
            <w:docPartUnique/>
          </w:docPartObj>
        </w:sdtPr>
        <w:sdtEndPr/>
        <w:sdtContent>
          <w:p w14:paraId="10E87F5A" w14:textId="03EBB1D3" w:rsidR="0011359A" w:rsidRDefault="0011359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67C69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67C69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C58A70B" w14:textId="77777777" w:rsidR="0011359A" w:rsidRDefault="001135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13D08" w14:textId="77777777" w:rsidR="000B0291" w:rsidRDefault="000B0291" w:rsidP="00AA2272">
      <w:pPr>
        <w:spacing w:after="0" w:line="240" w:lineRule="auto"/>
      </w:pPr>
      <w:r>
        <w:separator/>
      </w:r>
    </w:p>
  </w:footnote>
  <w:footnote w:type="continuationSeparator" w:id="0">
    <w:p w14:paraId="3A03487D" w14:textId="77777777" w:rsidR="000B0291" w:rsidRDefault="000B0291" w:rsidP="00AA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E863F" w14:textId="77777777" w:rsidR="00BA5ACD" w:rsidRDefault="00BA5ACD">
    <w:pPr>
      <w:pStyle w:val="Header"/>
    </w:pPr>
  </w:p>
  <w:p w14:paraId="2660FF52" w14:textId="77777777" w:rsidR="00BA5ACD" w:rsidRDefault="00BA5A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D6A39" w14:textId="7EBF2DBA" w:rsidR="00436BF4" w:rsidRDefault="00436BF4">
    <w:pPr>
      <w:pStyle w:val="Header"/>
    </w:pPr>
    <w:r>
      <w:t>Name:</w:t>
    </w:r>
    <w:r>
      <w:ptab w:relativeTo="margin" w:alignment="center" w:leader="none"/>
    </w:r>
    <w:r>
      <w:t>Article Assignment</w:t>
    </w:r>
    <w:r>
      <w:ptab w:relativeTo="margin" w:alignment="right" w:leader="none"/>
    </w:r>
    <w:r>
      <w:t>Separations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73390"/>
    <w:multiLevelType w:val="hybridMultilevel"/>
    <w:tmpl w:val="B4689004"/>
    <w:lvl w:ilvl="0" w:tplc="4D9259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F796A"/>
    <w:multiLevelType w:val="hybridMultilevel"/>
    <w:tmpl w:val="148EE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25"/>
    <w:rsid w:val="00000F44"/>
    <w:rsid w:val="000204FE"/>
    <w:rsid w:val="000568E8"/>
    <w:rsid w:val="0008638A"/>
    <w:rsid w:val="000B0291"/>
    <w:rsid w:val="0011359A"/>
    <w:rsid w:val="00133A4E"/>
    <w:rsid w:val="00136728"/>
    <w:rsid w:val="00192611"/>
    <w:rsid w:val="001B10A3"/>
    <w:rsid w:val="00227D49"/>
    <w:rsid w:val="0027073C"/>
    <w:rsid w:val="002C3432"/>
    <w:rsid w:val="002E5BCB"/>
    <w:rsid w:val="00332034"/>
    <w:rsid w:val="00333C25"/>
    <w:rsid w:val="003432EB"/>
    <w:rsid w:val="0039077B"/>
    <w:rsid w:val="003E39C7"/>
    <w:rsid w:val="00420A18"/>
    <w:rsid w:val="00436BF4"/>
    <w:rsid w:val="00476BD9"/>
    <w:rsid w:val="004852BA"/>
    <w:rsid w:val="004E38FF"/>
    <w:rsid w:val="0057147C"/>
    <w:rsid w:val="00580620"/>
    <w:rsid w:val="005A2D85"/>
    <w:rsid w:val="005A7EB3"/>
    <w:rsid w:val="005E2D58"/>
    <w:rsid w:val="005F06F6"/>
    <w:rsid w:val="005F402B"/>
    <w:rsid w:val="006B3E3C"/>
    <w:rsid w:val="006E641D"/>
    <w:rsid w:val="00701524"/>
    <w:rsid w:val="00727325"/>
    <w:rsid w:val="00752262"/>
    <w:rsid w:val="00765AAA"/>
    <w:rsid w:val="007767B0"/>
    <w:rsid w:val="007B7833"/>
    <w:rsid w:val="007F17DB"/>
    <w:rsid w:val="00827EE1"/>
    <w:rsid w:val="008512B7"/>
    <w:rsid w:val="00851F64"/>
    <w:rsid w:val="00863553"/>
    <w:rsid w:val="00890A21"/>
    <w:rsid w:val="008A676E"/>
    <w:rsid w:val="008E4E08"/>
    <w:rsid w:val="00922803"/>
    <w:rsid w:val="00984662"/>
    <w:rsid w:val="009A34AD"/>
    <w:rsid w:val="009F69E0"/>
    <w:rsid w:val="00A24CA4"/>
    <w:rsid w:val="00A348A2"/>
    <w:rsid w:val="00A53024"/>
    <w:rsid w:val="00A804C2"/>
    <w:rsid w:val="00AA2272"/>
    <w:rsid w:val="00AB7EC7"/>
    <w:rsid w:val="00AD1579"/>
    <w:rsid w:val="00B02543"/>
    <w:rsid w:val="00B157F5"/>
    <w:rsid w:val="00B61BD3"/>
    <w:rsid w:val="00B93441"/>
    <w:rsid w:val="00BA5ACD"/>
    <w:rsid w:val="00BF1B9E"/>
    <w:rsid w:val="00C61A20"/>
    <w:rsid w:val="00C62DB1"/>
    <w:rsid w:val="00C67C69"/>
    <w:rsid w:val="00CA65D8"/>
    <w:rsid w:val="00D17DFF"/>
    <w:rsid w:val="00D22A28"/>
    <w:rsid w:val="00D659D0"/>
    <w:rsid w:val="00D92102"/>
    <w:rsid w:val="00D934F5"/>
    <w:rsid w:val="00DB0D1F"/>
    <w:rsid w:val="00DB7C3C"/>
    <w:rsid w:val="00E17B5C"/>
    <w:rsid w:val="00E47BD9"/>
    <w:rsid w:val="00E5413D"/>
    <w:rsid w:val="00E831A9"/>
    <w:rsid w:val="00F0492A"/>
    <w:rsid w:val="00F10896"/>
    <w:rsid w:val="00F64DCF"/>
    <w:rsid w:val="00FA22B1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A4343"/>
  <w15:docId w15:val="{A353B92B-27A5-4F9E-B737-8C2AE58F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272"/>
  </w:style>
  <w:style w:type="paragraph" w:styleId="Footer">
    <w:name w:val="footer"/>
    <w:basedOn w:val="Normal"/>
    <w:link w:val="Foot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272"/>
  </w:style>
  <w:style w:type="paragraph" w:styleId="BalloonText">
    <w:name w:val="Balloon Text"/>
    <w:basedOn w:val="Normal"/>
    <w:link w:val="BalloonTextChar"/>
    <w:uiPriority w:val="99"/>
    <w:semiHidden/>
    <w:unhideWhenUsed/>
    <w:rsid w:val="00AA2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2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5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A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A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404B-5A7F-4B58-BABF-BFE576430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Kovarik</dc:creator>
  <cp:lastModifiedBy>Michelle Kovarik</cp:lastModifiedBy>
  <cp:revision>2</cp:revision>
  <cp:lastPrinted>2014-11-14T22:54:00Z</cp:lastPrinted>
  <dcterms:created xsi:type="dcterms:W3CDTF">2015-06-20T15:00:00Z</dcterms:created>
  <dcterms:modified xsi:type="dcterms:W3CDTF">2015-06-20T15:00:00Z</dcterms:modified>
</cp:coreProperties>
</file>