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D4D" w:rsidRPr="005E7E8B" w:rsidRDefault="00B644C0">
      <w:pPr>
        <w:rPr>
          <w:b/>
        </w:rPr>
      </w:pPr>
      <w:bookmarkStart w:id="0" w:name="_GoBack"/>
      <w:bookmarkEnd w:id="0"/>
      <w:r w:rsidRPr="005E7E8B">
        <w:rPr>
          <w:b/>
        </w:rPr>
        <w:t xml:space="preserve">Buret Calibration and Standardization of </w:t>
      </w:r>
      <w:r w:rsidR="00B700C1">
        <w:rPr>
          <w:b/>
        </w:rPr>
        <w:t>Sodium Hydroxide</w:t>
      </w:r>
      <w:r w:rsidRPr="005E7E8B">
        <w:rPr>
          <w:b/>
        </w:rPr>
        <w:t xml:space="preserve"> Solution by Titration</w:t>
      </w:r>
    </w:p>
    <w:p w:rsidR="00B644C0" w:rsidRDefault="00B644C0"/>
    <w:p w:rsidR="00B644C0" w:rsidRDefault="00304CAD">
      <w:r w:rsidRPr="005E7E8B">
        <w:rPr>
          <w:b/>
        </w:rPr>
        <w:t xml:space="preserve">Exercise </w:t>
      </w:r>
      <w:r w:rsidR="005E7E8B" w:rsidRPr="005E7E8B">
        <w:rPr>
          <w:b/>
        </w:rPr>
        <w:t>Learning Objectives</w:t>
      </w:r>
      <w:r w:rsidR="00B644C0">
        <w:t>:</w:t>
      </w:r>
    </w:p>
    <w:p w:rsidR="005E7E8B" w:rsidRDefault="005E7E8B" w:rsidP="005E7E8B">
      <w:pPr>
        <w:pStyle w:val="ListParagraph"/>
        <w:numPr>
          <w:ilvl w:val="0"/>
          <w:numId w:val="1"/>
        </w:numPr>
        <w:rPr>
          <w:sz w:val="24"/>
          <w:szCs w:val="24"/>
        </w:rPr>
      </w:pPr>
      <w:r w:rsidRPr="006E2191">
        <w:rPr>
          <w:sz w:val="24"/>
          <w:szCs w:val="24"/>
        </w:rPr>
        <w:t xml:space="preserve">Use </w:t>
      </w:r>
      <w:r>
        <w:rPr>
          <w:sz w:val="24"/>
          <w:szCs w:val="24"/>
        </w:rPr>
        <w:t xml:space="preserve">basic output from an analytical tool (buret) to calibrate that tool. </w:t>
      </w:r>
    </w:p>
    <w:p w:rsidR="005E7E8B" w:rsidRPr="006E2191" w:rsidRDefault="00D74A0A" w:rsidP="005E7E8B">
      <w:pPr>
        <w:pStyle w:val="ListParagraph"/>
        <w:numPr>
          <w:ilvl w:val="0"/>
          <w:numId w:val="1"/>
        </w:numPr>
        <w:rPr>
          <w:sz w:val="24"/>
          <w:szCs w:val="24"/>
        </w:rPr>
      </w:pPr>
      <w:r>
        <w:rPr>
          <w:sz w:val="24"/>
          <w:szCs w:val="24"/>
        </w:rPr>
        <w:t>Use data to perform error anal</w:t>
      </w:r>
      <w:r w:rsidR="008C7D9A">
        <w:rPr>
          <w:sz w:val="24"/>
          <w:szCs w:val="24"/>
        </w:rPr>
        <w:t xml:space="preserve">ysis (identify the presence of </w:t>
      </w:r>
      <w:r>
        <w:rPr>
          <w:sz w:val="24"/>
          <w:szCs w:val="24"/>
        </w:rPr>
        <w:t>random and/or systematic errors).</w:t>
      </w:r>
    </w:p>
    <w:p w:rsidR="005E7E8B" w:rsidRPr="006E2191" w:rsidRDefault="00D74A0A" w:rsidP="005E7E8B">
      <w:pPr>
        <w:pStyle w:val="ListParagraph"/>
        <w:numPr>
          <w:ilvl w:val="0"/>
          <w:numId w:val="1"/>
        </w:numPr>
        <w:rPr>
          <w:sz w:val="24"/>
          <w:szCs w:val="24"/>
        </w:rPr>
      </w:pPr>
      <w:r>
        <w:rPr>
          <w:sz w:val="24"/>
          <w:szCs w:val="24"/>
        </w:rPr>
        <w:t xml:space="preserve">Standardize a </w:t>
      </w:r>
      <w:r w:rsidR="00B700C1">
        <w:rPr>
          <w:sz w:val="24"/>
          <w:szCs w:val="24"/>
        </w:rPr>
        <w:t>sodium hydroxide (</w:t>
      </w:r>
      <w:r w:rsidR="008C7D9A">
        <w:rPr>
          <w:sz w:val="24"/>
          <w:szCs w:val="24"/>
        </w:rPr>
        <w:t>NaOH</w:t>
      </w:r>
      <w:r w:rsidR="00B700C1">
        <w:rPr>
          <w:sz w:val="24"/>
          <w:szCs w:val="24"/>
        </w:rPr>
        <w:t>)</w:t>
      </w:r>
      <w:r w:rsidR="00373A08">
        <w:rPr>
          <w:sz w:val="24"/>
          <w:szCs w:val="24"/>
        </w:rPr>
        <w:t xml:space="preserve"> solution using titration of</w:t>
      </w:r>
      <w:r w:rsidR="00B700C1">
        <w:rPr>
          <w:sz w:val="24"/>
          <w:szCs w:val="24"/>
        </w:rPr>
        <w:t xml:space="preserve"> potassium hydrogen phthalate (</w:t>
      </w:r>
      <w:r>
        <w:rPr>
          <w:sz w:val="24"/>
          <w:szCs w:val="24"/>
        </w:rPr>
        <w:t>KHP</w:t>
      </w:r>
      <w:r w:rsidR="00B700C1">
        <w:rPr>
          <w:sz w:val="24"/>
          <w:szCs w:val="24"/>
        </w:rPr>
        <w:t>)</w:t>
      </w:r>
      <w:r>
        <w:rPr>
          <w:sz w:val="24"/>
          <w:szCs w:val="24"/>
        </w:rPr>
        <w:t xml:space="preserve"> using a calibrated buret. </w:t>
      </w:r>
    </w:p>
    <w:p w:rsidR="005E7E8B" w:rsidRDefault="00D74A0A" w:rsidP="005E7E8B">
      <w:pPr>
        <w:pStyle w:val="ListParagraph"/>
        <w:numPr>
          <w:ilvl w:val="0"/>
          <w:numId w:val="1"/>
        </w:numPr>
        <w:rPr>
          <w:sz w:val="24"/>
          <w:szCs w:val="24"/>
        </w:rPr>
      </w:pPr>
      <w:r>
        <w:rPr>
          <w:sz w:val="24"/>
          <w:szCs w:val="24"/>
        </w:rPr>
        <w:t xml:space="preserve">Report the determined concentration of </w:t>
      </w:r>
      <w:r w:rsidR="008C7D9A">
        <w:rPr>
          <w:sz w:val="24"/>
          <w:szCs w:val="24"/>
        </w:rPr>
        <w:t>the standardized NaOH solution</w:t>
      </w:r>
      <w:r w:rsidR="00373A08">
        <w:rPr>
          <w:sz w:val="24"/>
          <w:szCs w:val="24"/>
        </w:rPr>
        <w:t>.</w:t>
      </w:r>
    </w:p>
    <w:p w:rsidR="00373A08" w:rsidRPr="006E2191" w:rsidRDefault="00373A08" w:rsidP="005E7E8B">
      <w:pPr>
        <w:pStyle w:val="ListParagraph"/>
        <w:numPr>
          <w:ilvl w:val="0"/>
          <w:numId w:val="1"/>
        </w:numPr>
        <w:rPr>
          <w:sz w:val="24"/>
          <w:szCs w:val="24"/>
        </w:rPr>
      </w:pPr>
      <w:r>
        <w:rPr>
          <w:sz w:val="24"/>
          <w:szCs w:val="24"/>
        </w:rPr>
        <w:t>Communicate (oral and written) scientific concepts related to calibration and standardization.</w:t>
      </w:r>
    </w:p>
    <w:p w:rsidR="00B644C0" w:rsidRDefault="00B644C0"/>
    <w:p w:rsidR="00102D6D" w:rsidRPr="00102D6D" w:rsidRDefault="00102D6D">
      <w:pPr>
        <w:rPr>
          <w:b/>
        </w:rPr>
      </w:pPr>
      <w:r w:rsidRPr="00102D6D">
        <w:rPr>
          <w:b/>
        </w:rPr>
        <w:t>In Class Exercise:</w:t>
      </w:r>
    </w:p>
    <w:p w:rsidR="00102D6D" w:rsidRDefault="00102D6D" w:rsidP="00102D6D">
      <w:pPr>
        <w:pStyle w:val="ListParagraph"/>
        <w:numPr>
          <w:ilvl w:val="0"/>
          <w:numId w:val="4"/>
        </w:numPr>
      </w:pPr>
      <w:r>
        <w:t xml:space="preserve">Work in groups of </w:t>
      </w:r>
      <w:r w:rsidR="00747C01">
        <w:t xml:space="preserve">3 or </w:t>
      </w:r>
      <w:r w:rsidR="00E81787">
        <w:t>4</w:t>
      </w:r>
      <w:r>
        <w:t xml:space="preserve"> students.</w:t>
      </w:r>
    </w:p>
    <w:p w:rsidR="00102D6D" w:rsidRDefault="00102D6D" w:rsidP="00102D6D">
      <w:pPr>
        <w:pStyle w:val="ListParagraph"/>
        <w:numPr>
          <w:ilvl w:val="0"/>
          <w:numId w:val="4"/>
        </w:numPr>
      </w:pPr>
      <w:r>
        <w:t>Develop a consensus for the questions in the exercise</w:t>
      </w:r>
    </w:p>
    <w:p w:rsidR="00102D6D" w:rsidRDefault="00102D6D" w:rsidP="00102D6D">
      <w:pPr>
        <w:pStyle w:val="ListParagraph"/>
        <w:numPr>
          <w:ilvl w:val="0"/>
          <w:numId w:val="4"/>
        </w:numPr>
      </w:pPr>
      <w:r>
        <w:t xml:space="preserve">Where appropriate use Excel </w:t>
      </w:r>
    </w:p>
    <w:p w:rsidR="00B644C0" w:rsidRDefault="00747C01">
      <w:r>
        <w:rPr>
          <w:rFonts w:ascii="Helvetica" w:hAnsi="Helvetica" w:cs="Helvetica"/>
          <w:noProof/>
        </w:rPr>
        <w:drawing>
          <wp:anchor distT="0" distB="0" distL="114300" distR="114300" simplePos="0" relativeHeight="251663360" behindDoc="0" locked="0" layoutInCell="1" allowOverlap="1">
            <wp:simplePos x="0" y="0"/>
            <wp:positionH relativeFrom="column">
              <wp:posOffset>4114800</wp:posOffset>
            </wp:positionH>
            <wp:positionV relativeFrom="paragraph">
              <wp:posOffset>132080</wp:posOffset>
            </wp:positionV>
            <wp:extent cx="1788160" cy="4500880"/>
            <wp:effectExtent l="0" t="0" r="0" b="0"/>
            <wp:wrapSquare wrapText="bothSides"/>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a:extLst>
                        <a:ext uri="{28A0092B-C50C-407E-A947-70E740481C1C}">
                          <a14:useLocalDpi xmlns:a14="http://schemas.microsoft.com/office/drawing/2010/main" val="0"/>
                        </a:ext>
                      </a:extLst>
                    </a:blip>
                    <a:srcRect l="3951" t="5926" r="9136" b="6568"/>
                    <a:stretch/>
                  </pic:blipFill>
                  <pic:spPr bwMode="auto">
                    <a:xfrm>
                      <a:off x="0" y="0"/>
                      <a:ext cx="1788160" cy="4500880"/>
                    </a:xfrm>
                    <a:prstGeom prst="rect">
                      <a:avLst/>
                    </a:prstGeom>
                    <a:noFill/>
                    <a:ln>
                      <a:noFill/>
                    </a:ln>
                    <a:extLst>
                      <a:ext uri="{53640926-AAD7-44D8-BBD7-CCE9431645EC}">
                        <a14:shadowObscured xmlns:a14="http://schemas.microsoft.com/office/drawing/2010/main"/>
                      </a:ext>
                    </a:extLst>
                  </pic:spPr>
                </pic:pic>
              </a:graphicData>
            </a:graphic>
          </wp:anchor>
        </w:drawing>
      </w:r>
    </w:p>
    <w:p w:rsidR="00B644C0" w:rsidRDefault="005E7E8B">
      <w:r w:rsidRPr="005E7E8B">
        <w:rPr>
          <w:b/>
        </w:rPr>
        <w:t>Introduction:</w:t>
      </w:r>
      <w:r>
        <w:t xml:space="preserve"> </w:t>
      </w:r>
      <w:r w:rsidR="00B644C0">
        <w:t xml:space="preserve">Class </w:t>
      </w:r>
      <w:proofErr w:type="gramStart"/>
      <w:r w:rsidR="00B644C0">
        <w:t>A</w:t>
      </w:r>
      <w:proofErr w:type="gramEnd"/>
      <w:r w:rsidR="00B644C0">
        <w:t xml:space="preserve"> burets are a common type of volumetric glassware that is used to deliver variable volumes of a solution. Burets are commonly used when performing titration reactions. A 50 mL class </w:t>
      </w:r>
      <w:proofErr w:type="gramStart"/>
      <w:r w:rsidR="00B644C0">
        <w:t>A</w:t>
      </w:r>
      <w:proofErr w:type="gramEnd"/>
      <w:r w:rsidR="00B644C0">
        <w:t xml:space="preserve"> buret has a tolerance of </w:t>
      </w:r>
      <w:r w:rsidR="00B644C0" w:rsidRPr="00157C24">
        <w:rPr>
          <w:rFonts w:ascii="MS Gothic" w:eastAsia="MS Gothic"/>
          <w:color w:val="000000"/>
        </w:rPr>
        <w:t>±</w:t>
      </w:r>
      <w:r w:rsidR="00B644C0">
        <w:t xml:space="preserve">0.05 </w:t>
      </w:r>
      <w:proofErr w:type="spellStart"/>
      <w:r w:rsidR="00B644C0">
        <w:t>mL.</w:t>
      </w:r>
      <w:proofErr w:type="spellEnd"/>
      <w:r w:rsidR="00B644C0">
        <w:t xml:space="preserve"> Like most tools used to make quantitative determinations in the laboratory volumetric glassware can and should be calibrated to improve accuracy.</w:t>
      </w:r>
    </w:p>
    <w:p w:rsidR="00304CAD" w:rsidRDefault="00304CAD"/>
    <w:p w:rsidR="00304CAD" w:rsidRDefault="00304CAD">
      <w:r w:rsidRPr="006E2191">
        <w:t xml:space="preserve">Accurately </w:t>
      </w:r>
      <w:r>
        <w:t>determining the amount of an analyte (unknown)</w:t>
      </w:r>
      <w:r w:rsidRPr="006E2191">
        <w:t xml:space="preserve">, in terms of concentration, </w:t>
      </w:r>
      <w:r>
        <w:t xml:space="preserve">is largely dependent on the quality (accuracy) to which standards are known and the quality of the tools (sensitivity and calibration accuracy) used </w:t>
      </w:r>
      <w:r w:rsidR="002B17CF">
        <w:t>to make the determination.</w:t>
      </w:r>
      <w:r w:rsidRPr="006E2191">
        <w:t xml:space="preserve"> </w:t>
      </w:r>
      <w:r>
        <w:t xml:space="preserve"> </w:t>
      </w:r>
      <w:r w:rsidR="002B17CF">
        <w:t>This is</w:t>
      </w:r>
      <w:r>
        <w:t xml:space="preserve"> </w:t>
      </w:r>
      <w:r w:rsidR="002B17CF">
        <w:t>critical in</w:t>
      </w:r>
      <w:r>
        <w:t xml:space="preserve"> </w:t>
      </w:r>
      <w:r w:rsidR="002B17CF">
        <w:t xml:space="preserve">successfully conducting both </w:t>
      </w:r>
      <w:r>
        <w:t xml:space="preserve">fundamental </w:t>
      </w:r>
      <w:r w:rsidR="002B17CF">
        <w:t xml:space="preserve">and applied </w:t>
      </w:r>
      <w:r>
        <w:t xml:space="preserve">research </w:t>
      </w:r>
      <w:r w:rsidR="002B17CF">
        <w:t>as well as quality control measures in various industries</w:t>
      </w:r>
      <w:r w:rsidRPr="006E2191">
        <w:t>.</w:t>
      </w:r>
    </w:p>
    <w:p w:rsidR="008C7D9A" w:rsidRDefault="008C7D9A"/>
    <w:p w:rsidR="00D226F5" w:rsidRDefault="00423D5E">
      <w:r>
        <w:rPr>
          <w:noProof/>
        </w:rPr>
        <mc:AlternateContent>
          <mc:Choice Requires="wps">
            <w:drawing>
              <wp:anchor distT="0" distB="0" distL="114300" distR="114300" simplePos="0" relativeHeight="251664384" behindDoc="0" locked="0" layoutInCell="1" allowOverlap="1">
                <wp:simplePos x="0" y="0"/>
                <wp:positionH relativeFrom="column">
                  <wp:posOffset>4114800</wp:posOffset>
                </wp:positionH>
                <wp:positionV relativeFrom="paragraph">
                  <wp:posOffset>2126615</wp:posOffset>
                </wp:positionV>
                <wp:extent cx="1828800" cy="457200"/>
                <wp:effectExtent l="0" t="0" r="0"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457200"/>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rsidR="00AE6DAD" w:rsidRDefault="00AE6DAD">
                            <w:r w:rsidRPr="00305E67">
                              <w:rPr>
                                <w:b/>
                              </w:rPr>
                              <w:t>Figure 1:</w:t>
                            </w:r>
                            <w:r>
                              <w:t xml:space="preserve"> 50 mL Class A buret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7" o:spid="_x0000_s1026" type="#_x0000_t202" style="position:absolute;margin-left:324pt;margin-top:167.45pt;width:2in;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" filled="f" stroked="f">
                <v:path arrowok="t"/>
                <v:textbox>
                  <w:txbxContent>
                    <w:p w:rsidR="00AE6DAD" w:rsidRDefault="00AE6DAD">
                      <w:r w:rsidRPr="00305E67">
                        <w:rPr>
                          <w:b/>
                        </w:rPr>
                        <w:t>Figure 1:</w:t>
                      </w:r>
                      <w:r>
                        <w:t xml:space="preserve"> 50 mL Class A buret</w:t>
                      </w:r>
                    </w:p>
                  </w:txbxContent>
                </v:textbox>
                <w10:wrap type="square"/>
              </v:shape>
            </w:pict>
          </mc:Fallback>
        </mc:AlternateContent>
      </w:r>
      <w:r w:rsidR="008C7D9A">
        <w:t>Acid and base titrations are an extremely common approach to using stoichiometry to quantitatively measure the concentration of an analyte in solution.  In this exercise you will be using the data provided to determine the concentration of a NaOH solution that is prepared by dissolving NaOH(s) in DI water. While properly calibrated analytical balances are one of the most accurate laboratory tools, accurately determining the mass of NaOH(s) is difficult. This is because NaOH is very hy</w:t>
      </w:r>
      <w:r w:rsidR="00B700C1">
        <w:t>g</w:t>
      </w:r>
      <w:r w:rsidR="008C7D9A">
        <w:t xml:space="preserve">roscopic. This means that NaOH will absorb water in the atmosphere, and as a result when you measure the </w:t>
      </w:r>
      <w:r w:rsidR="008C7D9A">
        <w:lastRenderedPageBreak/>
        <w:t>mass of NaOH on a balance you are likely measuring NaOH plus some amount of water. Therefore, the mass of NaOH should be treated as an approximate value.</w:t>
      </w:r>
      <w:r w:rsidR="00D226F5">
        <w:t xml:space="preserve"> Titration of</w:t>
      </w:r>
      <w:r w:rsidR="00B700C1">
        <w:t xml:space="preserve"> a st</w:t>
      </w:r>
      <w:r w:rsidR="00D226F5">
        <w:t>andard acid,</w:t>
      </w:r>
      <w:r w:rsidR="008C7D9A">
        <w:t xml:space="preserve"> such as KHP, with the </w:t>
      </w:r>
      <w:r w:rsidR="00B700C1">
        <w:t xml:space="preserve">NaOH solution can be used to accurately determine the concentration of the </w:t>
      </w:r>
      <w:proofErr w:type="spellStart"/>
      <w:r w:rsidR="00747C01">
        <w:t>NaOH</w:t>
      </w:r>
      <w:proofErr w:type="spellEnd"/>
      <w:r w:rsidR="00747C01">
        <w:t xml:space="preserve"> </w:t>
      </w:r>
      <w:r w:rsidR="00B700C1">
        <w:t xml:space="preserve">solution. </w:t>
      </w:r>
    </w:p>
    <w:p w:rsidR="00D226F5" w:rsidRDefault="00D226F5"/>
    <w:p w:rsidR="008C7D9A" w:rsidRDefault="00B700C1">
      <w:r>
        <w:t xml:space="preserve">KHP is commonly used as a primary standard because it is a solid at room temperature, is stable in air, and is not hygroscopic, which makes it possible to accurately determine the mass of KHP using a balance. </w:t>
      </w:r>
      <w:r w:rsidR="00D226F5">
        <w:t>A primary standard is characterized as a reagent of higher purity and is typically a stable solid such that a measurement of mass accurately representative of the number of moles of the standard.</w:t>
      </w:r>
      <w:r w:rsidR="00557A43">
        <w:t xml:space="preserve"> Secondary standards are those that are prepared in reference to a primary standard (i.e. standardized against a primary standard). In the context of this exercise the NaOH solution is a secondary standard that is standardized against the primary standard (KHP) using laboratory titration.</w:t>
      </w:r>
      <w:r w:rsidR="00557A43">
        <w:rPr>
          <w:highlight w:val="yellow"/>
        </w:rPr>
        <w:t xml:space="preserve"> </w:t>
      </w:r>
    </w:p>
    <w:p w:rsidR="00B700C1" w:rsidRDefault="00B700C1"/>
    <w:p w:rsidR="00B700C1" w:rsidRDefault="00B700C1">
      <w:r w:rsidRPr="00853BDF">
        <w:rPr>
          <w:b/>
        </w:rPr>
        <w:t>Question 1:</w:t>
      </w:r>
      <w:r w:rsidR="00853BDF">
        <w:t xml:space="preserve"> Explain in layman terms </w:t>
      </w:r>
      <w:r w:rsidR="00853BDF">
        <w:rPr>
          <w:bCs/>
        </w:rPr>
        <w:t>w</w:t>
      </w:r>
      <w:r w:rsidR="00853BDF" w:rsidRPr="00853BDF">
        <w:rPr>
          <w:bCs/>
        </w:rPr>
        <w:t xml:space="preserve">hat is meant by the term “concentration” and </w:t>
      </w:r>
      <w:r w:rsidR="00A26543">
        <w:rPr>
          <w:bCs/>
        </w:rPr>
        <w:t>give</w:t>
      </w:r>
      <w:r w:rsidR="00853BDF">
        <w:rPr>
          <w:bCs/>
        </w:rPr>
        <w:t xml:space="preserve"> examples of</w:t>
      </w:r>
      <w:r w:rsidR="00853BDF" w:rsidRPr="00853BDF">
        <w:rPr>
          <w:bCs/>
        </w:rPr>
        <w:t xml:space="preserve"> common unit</w:t>
      </w:r>
      <w:r w:rsidR="00853BDF">
        <w:rPr>
          <w:bCs/>
        </w:rPr>
        <w:t>s for concentration in</w:t>
      </w:r>
      <w:r w:rsidR="00853BDF" w:rsidRPr="00853BDF">
        <w:rPr>
          <w:bCs/>
        </w:rPr>
        <w:t xml:space="preserve"> analytical measurement</w:t>
      </w:r>
      <w:r w:rsidR="00853BDF">
        <w:rPr>
          <w:bCs/>
        </w:rPr>
        <w:t>s</w:t>
      </w:r>
      <w:r w:rsidR="00853BDF" w:rsidRPr="00853BDF">
        <w:rPr>
          <w:bCs/>
        </w:rPr>
        <w:t>?</w:t>
      </w:r>
    </w:p>
    <w:p w:rsidR="00B700C1" w:rsidRDefault="00B700C1"/>
    <w:p w:rsidR="00853BDF" w:rsidRDefault="00853BDF"/>
    <w:p w:rsidR="00853BDF" w:rsidRDefault="00853BDF"/>
    <w:p w:rsidR="00853BDF" w:rsidRDefault="00853BDF"/>
    <w:p w:rsidR="00B700C1" w:rsidRPr="00853BDF" w:rsidRDefault="00B700C1">
      <w:pPr>
        <w:rPr>
          <w:b/>
        </w:rPr>
      </w:pPr>
      <w:r w:rsidRPr="00853BDF">
        <w:rPr>
          <w:b/>
        </w:rPr>
        <w:t>Question 2:</w:t>
      </w:r>
      <w:r w:rsidR="00373A08">
        <w:rPr>
          <w:b/>
        </w:rPr>
        <w:t xml:space="preserve"> </w:t>
      </w:r>
      <w:r w:rsidR="00102D6D">
        <w:t>Why might mass measurements using a</w:t>
      </w:r>
      <w:r w:rsidR="00A26543">
        <w:t>n analytical</w:t>
      </w:r>
      <w:r w:rsidR="00102D6D">
        <w:t xml:space="preserve"> balance </w:t>
      </w:r>
      <w:r w:rsidR="00A26543">
        <w:t xml:space="preserve">to measure about 25 g of water </w:t>
      </w:r>
      <w:r w:rsidR="00102D6D">
        <w:t>be considered mor</w:t>
      </w:r>
      <w:r w:rsidR="00A26543">
        <w:t xml:space="preserve">e accurate than a </w:t>
      </w:r>
      <w:r w:rsidR="00102D6D">
        <w:t xml:space="preserve">volume measurements </w:t>
      </w:r>
      <w:r w:rsidR="00A26543">
        <w:t xml:space="preserve">of 25 mL </w:t>
      </w:r>
      <w:r w:rsidR="00102D6D">
        <w:t>with volumetric glassware</w:t>
      </w:r>
      <w:r w:rsidR="00A26543">
        <w:t>,</w:t>
      </w:r>
      <w:r w:rsidR="00102D6D">
        <w:t xml:space="preserve"> such as burets or transfer pipets</w:t>
      </w:r>
      <w:r w:rsidR="00373A08" w:rsidRPr="00373A08">
        <w:t>?</w:t>
      </w:r>
      <w:r w:rsidR="00AF26D9">
        <w:t xml:space="preserve"> (Hint: consider significant figures, physicochemical properties, physical process, etc.)</w:t>
      </w:r>
    </w:p>
    <w:p w:rsidR="00B700C1" w:rsidRDefault="00B700C1"/>
    <w:p w:rsidR="00853BDF" w:rsidRDefault="00853BDF">
      <w:pPr>
        <w:rPr>
          <w:b/>
        </w:rPr>
      </w:pPr>
    </w:p>
    <w:p w:rsidR="00853BDF" w:rsidRDefault="00853BDF">
      <w:pPr>
        <w:rPr>
          <w:b/>
        </w:rPr>
      </w:pPr>
    </w:p>
    <w:p w:rsidR="00853BDF" w:rsidRDefault="00853BDF">
      <w:pPr>
        <w:rPr>
          <w:b/>
        </w:rPr>
      </w:pPr>
    </w:p>
    <w:p w:rsidR="00B700C1" w:rsidRDefault="00B700C1">
      <w:pPr>
        <w:rPr>
          <w:b/>
        </w:rPr>
      </w:pPr>
      <w:r w:rsidRPr="00B700C1">
        <w:rPr>
          <w:b/>
        </w:rPr>
        <w:t>Part 1: Buret Calibration</w:t>
      </w:r>
    </w:p>
    <w:p w:rsidR="00973EA6" w:rsidRDefault="00973EA6">
      <w:r>
        <w:t xml:space="preserve">Using the data provided </w:t>
      </w:r>
      <w:r w:rsidR="009102A6">
        <w:t xml:space="preserve">(Table 1) to </w:t>
      </w:r>
      <w:r>
        <w:t>calibrate the 50 mL volumetric pipet that will be used to standardize the NaOH solution.</w:t>
      </w:r>
      <w:r w:rsidR="001401B8">
        <w:t xml:space="preserve"> In carrying out this exercise it is recommended that you utilize Microsoft Excel to manipulate data and perform the necessary mathematical operations. </w:t>
      </w:r>
      <w:r w:rsidR="008E5370">
        <w:t>The measurements for the calibration data include reading the volume level of DI water in a buret as successive volumes of DI water are delivered into a flask. After each volume of DI water is delivered the flask the mass of the flask + water is rapidly measured using an analytical balance.</w:t>
      </w:r>
      <w:r w:rsidR="002C59C7">
        <w:t xml:space="preserve"> This process is performed three times. The temperature in the lab at the time of the measurements was 23.0 </w:t>
      </w:r>
      <w:r w:rsidR="002C59C7">
        <w:rPr>
          <w:rFonts w:ascii="Cambria" w:hAnsi="Cambria"/>
        </w:rPr>
        <w:t>°</w:t>
      </w:r>
      <w:r w:rsidR="002C59C7">
        <w:t>C. Note that the first measurement for each trial is the starting volume of water in the buret and prior to delivering any water to the flask.</w:t>
      </w:r>
    </w:p>
    <w:p w:rsidR="00373A08" w:rsidRDefault="00373A08"/>
    <w:tbl>
      <w:tblPr>
        <w:tblpPr w:leftFromText="180" w:rightFromText="180" w:vertAnchor="text" w:horzAnchor="margin" w:tblpY="781"/>
        <w:tblOverlap w:val="never"/>
        <w:tblW w:w="4712" w:type="dxa"/>
        <w:tblLook w:val="04A0" w:firstRow="1" w:lastRow="0" w:firstColumn="1" w:lastColumn="0" w:noHBand="0" w:noVBand="1"/>
      </w:tblPr>
      <w:tblGrid>
        <w:gridCol w:w="1312"/>
        <w:gridCol w:w="1720"/>
        <w:gridCol w:w="1680"/>
      </w:tblGrid>
      <w:tr w:rsidR="00747C01" w:rsidRPr="00973EA6" w:rsidTr="00747C01">
        <w:trPr>
          <w:trHeight w:val="600"/>
        </w:trPr>
        <w:tc>
          <w:tcPr>
            <w:tcW w:w="1312" w:type="dxa"/>
            <w:tcBorders>
              <w:top w:val="single" w:sz="4" w:space="0" w:color="auto"/>
              <w:left w:val="nil"/>
              <w:bottom w:val="single" w:sz="4" w:space="0" w:color="auto"/>
              <w:right w:val="nil"/>
            </w:tcBorders>
            <w:shd w:val="clear" w:color="auto" w:fill="auto"/>
            <w:noWrap/>
            <w:vAlign w:val="bottom"/>
            <w:hideMark/>
          </w:tcPr>
          <w:p w:rsidR="00747C01" w:rsidRPr="009102A6" w:rsidRDefault="00747C01" w:rsidP="00747C01">
            <w:pPr>
              <w:jc w:val="center"/>
              <w:rPr>
                <w:rFonts w:ascii="Calibri" w:eastAsia="Times New Roman" w:hAnsi="Calibri" w:cs="Times New Roman"/>
                <w:b/>
                <w:color w:val="000000"/>
              </w:rPr>
            </w:pPr>
            <w:r w:rsidRPr="009102A6">
              <w:rPr>
                <w:rFonts w:ascii="Calibri" w:eastAsia="Times New Roman" w:hAnsi="Calibri" w:cs="Times New Roman"/>
                <w:b/>
                <w:color w:val="000000"/>
              </w:rPr>
              <w:t>Calibration Trial</w:t>
            </w:r>
          </w:p>
        </w:tc>
        <w:tc>
          <w:tcPr>
            <w:tcW w:w="1720" w:type="dxa"/>
            <w:tcBorders>
              <w:top w:val="single" w:sz="4" w:space="0" w:color="auto"/>
              <w:left w:val="nil"/>
              <w:bottom w:val="single" w:sz="4" w:space="0" w:color="auto"/>
              <w:right w:val="nil"/>
            </w:tcBorders>
            <w:shd w:val="clear" w:color="auto" w:fill="auto"/>
            <w:vAlign w:val="bottom"/>
            <w:hideMark/>
          </w:tcPr>
          <w:p w:rsidR="00747C01" w:rsidRPr="009102A6" w:rsidRDefault="00747C01" w:rsidP="00747C01">
            <w:pPr>
              <w:jc w:val="center"/>
              <w:rPr>
                <w:rFonts w:ascii="Calibri" w:eastAsia="Times New Roman" w:hAnsi="Calibri" w:cs="Times New Roman"/>
                <w:b/>
                <w:color w:val="000000"/>
              </w:rPr>
            </w:pPr>
            <w:r w:rsidRPr="009102A6">
              <w:rPr>
                <w:rFonts w:ascii="Calibri" w:eastAsia="Times New Roman" w:hAnsi="Calibri" w:cs="Times New Roman"/>
                <w:b/>
                <w:color w:val="000000"/>
              </w:rPr>
              <w:t>Buret      Reading (mL)</w:t>
            </w:r>
          </w:p>
        </w:tc>
        <w:tc>
          <w:tcPr>
            <w:tcW w:w="1680" w:type="dxa"/>
            <w:tcBorders>
              <w:top w:val="single" w:sz="4" w:space="0" w:color="auto"/>
              <w:left w:val="nil"/>
              <w:bottom w:val="single" w:sz="4" w:space="0" w:color="auto"/>
              <w:right w:val="nil"/>
            </w:tcBorders>
            <w:shd w:val="clear" w:color="auto" w:fill="auto"/>
            <w:vAlign w:val="bottom"/>
            <w:hideMark/>
          </w:tcPr>
          <w:p w:rsidR="00747C01" w:rsidRPr="009102A6" w:rsidRDefault="00747C01" w:rsidP="00747C01">
            <w:pPr>
              <w:jc w:val="center"/>
              <w:rPr>
                <w:rFonts w:ascii="Calibri" w:eastAsia="Times New Roman" w:hAnsi="Calibri" w:cs="Times New Roman"/>
                <w:b/>
                <w:color w:val="000000"/>
              </w:rPr>
            </w:pPr>
            <w:r w:rsidRPr="009102A6">
              <w:rPr>
                <w:rFonts w:ascii="Calibri" w:eastAsia="Times New Roman" w:hAnsi="Calibri" w:cs="Times New Roman"/>
                <w:b/>
                <w:color w:val="000000"/>
              </w:rPr>
              <w:t>Mass of Flask + Contents (g)</w:t>
            </w:r>
          </w:p>
        </w:tc>
      </w:tr>
      <w:tr w:rsidR="00747C01" w:rsidRPr="00973EA6" w:rsidTr="00747C01">
        <w:trPr>
          <w:trHeight w:val="300"/>
        </w:trPr>
        <w:tc>
          <w:tcPr>
            <w:tcW w:w="1312" w:type="dxa"/>
            <w:tcBorders>
              <w:top w:val="single" w:sz="4" w:space="0" w:color="auto"/>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b/>
                <w:color w:val="000000"/>
              </w:rPr>
            </w:pPr>
            <w:r w:rsidRPr="00973EA6">
              <w:rPr>
                <w:rFonts w:ascii="Calibri" w:eastAsia="Times New Roman" w:hAnsi="Calibri" w:cs="Times New Roman"/>
                <w:b/>
                <w:color w:val="000000"/>
              </w:rPr>
              <w:lastRenderedPageBreak/>
              <w:t>Trial 1</w:t>
            </w:r>
          </w:p>
        </w:tc>
        <w:tc>
          <w:tcPr>
            <w:tcW w:w="1720" w:type="dxa"/>
            <w:tcBorders>
              <w:top w:val="single" w:sz="4" w:space="0" w:color="auto"/>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0.01</w:t>
            </w:r>
          </w:p>
        </w:tc>
        <w:tc>
          <w:tcPr>
            <w:tcW w:w="1680" w:type="dxa"/>
            <w:tcBorders>
              <w:top w:val="single" w:sz="4" w:space="0" w:color="auto"/>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50.2205</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5.02</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55.1947</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9.99</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60.1388</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15.01</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65.1599</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19.96</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70.0444</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25.03</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75.1065</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30.05</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80.0997</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34.97</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85.0292</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40.02</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90.0117</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45.01</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95.0031</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50.00</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99.9614</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p>
        </w:tc>
        <w:tc>
          <w:tcPr>
            <w:tcW w:w="1680"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102A6" w:rsidRDefault="00747C01" w:rsidP="00747C01">
            <w:pPr>
              <w:rPr>
                <w:rFonts w:ascii="Calibri" w:eastAsia="Times New Roman" w:hAnsi="Calibri" w:cs="Times New Roman"/>
                <w:b/>
                <w:color w:val="000000"/>
              </w:rPr>
            </w:pPr>
            <w:r w:rsidRPr="009102A6">
              <w:rPr>
                <w:rFonts w:ascii="Calibri" w:eastAsia="Times New Roman" w:hAnsi="Calibri" w:cs="Times New Roman"/>
                <w:b/>
                <w:color w:val="000000"/>
              </w:rPr>
              <w:t>Trial 2</w:t>
            </w: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0.02</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50.2225</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5.00</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55.1847</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10.01</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60.1488</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15.01</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65.1499</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20.05</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70.1044</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25.02</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75.0865</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29.99</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80.0511</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34.99</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85.0169</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40.02</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90.0003</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45.00</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94.9733</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49.98</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99.9209</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p>
        </w:tc>
        <w:tc>
          <w:tcPr>
            <w:tcW w:w="1680"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102A6" w:rsidRDefault="00747C01" w:rsidP="00747C01">
            <w:pPr>
              <w:rPr>
                <w:rFonts w:ascii="Calibri" w:eastAsia="Times New Roman" w:hAnsi="Calibri" w:cs="Times New Roman"/>
                <w:b/>
                <w:color w:val="000000"/>
              </w:rPr>
            </w:pPr>
            <w:r w:rsidRPr="009102A6">
              <w:rPr>
                <w:rFonts w:ascii="Calibri" w:eastAsia="Times New Roman" w:hAnsi="Calibri" w:cs="Times New Roman"/>
                <w:b/>
                <w:color w:val="000000"/>
              </w:rPr>
              <w:t>Trial 3</w:t>
            </w: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0.00</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50.4185</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5.01</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55.3577</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9.98</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60.3397</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15.03</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65.4102</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19.99</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70.2814</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25.01</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75.3165</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30.01</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80.2807</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34.99</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85.2182</w:t>
            </w:r>
          </w:p>
        </w:tc>
      </w:tr>
      <w:tr w:rsidR="00747C01" w:rsidRPr="00973EA6" w:rsidTr="00747C01">
        <w:trPr>
          <w:trHeight w:val="300"/>
        </w:trPr>
        <w:tc>
          <w:tcPr>
            <w:tcW w:w="1312" w:type="dxa"/>
            <w:tcBorders>
              <w:top w:val="nil"/>
              <w:left w:val="nil"/>
              <w:bottom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40.03</w:t>
            </w:r>
          </w:p>
        </w:tc>
        <w:tc>
          <w:tcPr>
            <w:tcW w:w="1680" w:type="dxa"/>
            <w:tcBorders>
              <w:top w:val="nil"/>
              <w:left w:val="nil"/>
              <w:bottom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90.2217</w:t>
            </w:r>
          </w:p>
        </w:tc>
      </w:tr>
      <w:tr w:rsidR="00747C01" w:rsidRPr="00973EA6" w:rsidTr="00747C01">
        <w:trPr>
          <w:trHeight w:val="300"/>
        </w:trPr>
        <w:tc>
          <w:tcPr>
            <w:tcW w:w="1312" w:type="dxa"/>
            <w:tcBorders>
              <w:top w:val="nil"/>
              <w:left w:val="nil"/>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44.99</w:t>
            </w:r>
          </w:p>
        </w:tc>
        <w:tc>
          <w:tcPr>
            <w:tcW w:w="1680" w:type="dxa"/>
            <w:tcBorders>
              <w:top w:val="nil"/>
              <w:left w:val="nil"/>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95.1931</w:t>
            </w:r>
          </w:p>
        </w:tc>
      </w:tr>
      <w:tr w:rsidR="00747C01" w:rsidRPr="00973EA6" w:rsidTr="00747C01">
        <w:trPr>
          <w:trHeight w:val="300"/>
        </w:trPr>
        <w:tc>
          <w:tcPr>
            <w:tcW w:w="1312" w:type="dxa"/>
            <w:tcBorders>
              <w:top w:val="nil"/>
              <w:left w:val="nil"/>
              <w:bottom w:val="single" w:sz="4" w:space="0" w:color="auto"/>
              <w:right w:val="nil"/>
            </w:tcBorders>
            <w:shd w:val="clear" w:color="auto" w:fill="auto"/>
            <w:noWrap/>
            <w:vAlign w:val="bottom"/>
            <w:hideMark/>
          </w:tcPr>
          <w:p w:rsidR="00747C01" w:rsidRPr="00973EA6" w:rsidRDefault="00747C01" w:rsidP="00747C01">
            <w:pPr>
              <w:rPr>
                <w:rFonts w:ascii="Calibri" w:eastAsia="Times New Roman" w:hAnsi="Calibri" w:cs="Times New Roman"/>
                <w:color w:val="000000"/>
              </w:rPr>
            </w:pPr>
          </w:p>
        </w:tc>
        <w:tc>
          <w:tcPr>
            <w:tcW w:w="1720" w:type="dxa"/>
            <w:tcBorders>
              <w:top w:val="nil"/>
              <w:left w:val="nil"/>
              <w:bottom w:val="single" w:sz="4" w:space="0" w:color="auto"/>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49.98</w:t>
            </w:r>
          </w:p>
        </w:tc>
        <w:tc>
          <w:tcPr>
            <w:tcW w:w="1680" w:type="dxa"/>
            <w:tcBorders>
              <w:top w:val="nil"/>
              <w:left w:val="nil"/>
              <w:bottom w:val="single" w:sz="4" w:space="0" w:color="auto"/>
              <w:right w:val="nil"/>
            </w:tcBorders>
            <w:shd w:val="clear" w:color="auto" w:fill="auto"/>
            <w:noWrap/>
            <w:vAlign w:val="bottom"/>
            <w:hideMark/>
          </w:tcPr>
          <w:p w:rsidR="00747C01" w:rsidRPr="00973EA6" w:rsidRDefault="00747C01" w:rsidP="00747C01">
            <w:pPr>
              <w:jc w:val="center"/>
              <w:rPr>
                <w:rFonts w:ascii="Calibri" w:eastAsia="Times New Roman" w:hAnsi="Calibri" w:cs="Times New Roman"/>
                <w:color w:val="000000"/>
              </w:rPr>
            </w:pPr>
            <w:r w:rsidRPr="00973EA6">
              <w:rPr>
                <w:rFonts w:ascii="Calibri" w:eastAsia="Times New Roman" w:hAnsi="Calibri" w:cs="Times New Roman"/>
                <w:color w:val="000000"/>
              </w:rPr>
              <w:t>100.1114</w:t>
            </w:r>
          </w:p>
        </w:tc>
      </w:tr>
    </w:tbl>
    <w:p w:rsidR="00373A08" w:rsidRDefault="00747C01">
      <w:r>
        <w:rPr>
          <w:noProof/>
        </w:rPr>
        <mc:AlternateContent>
          <mc:Choice Requires="wps">
            <w:drawing>
              <wp:anchor distT="0" distB="0" distL="114300" distR="114300" simplePos="0" relativeHeight="251659264" behindDoc="0" locked="0" layoutInCell="1" allowOverlap="1">
                <wp:simplePos x="0" y="0"/>
                <wp:positionH relativeFrom="column">
                  <wp:posOffset>47625</wp:posOffset>
                </wp:positionH>
                <wp:positionV relativeFrom="paragraph">
                  <wp:posOffset>29845</wp:posOffset>
                </wp:positionV>
                <wp:extent cx="2971800" cy="448945"/>
                <wp:effectExtent l="0" t="0" r="0" b="825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1800" cy="448945"/>
                        </a:xfrm>
                        <a:prstGeom prst="rect">
                          <a:avLst/>
                        </a:prstGeom>
                        <a:noFill/>
                        <a:ln>
                          <a:noFill/>
                        </a:ln>
                        <a:effectLst/>
                        <a:extLst>
                          <a:ext uri="{FAA26D3D-D897-4be2-8F04-BA451C77F1D7}"/>
                          <a:ext uri="{C572A759-6A51-4108-AA02-DFA0A04FC94B}"/>
                        </a:extLst>
                      </wps:spPr>
                      <wps:txbx>
                        <w:txbxContent>
                          <w:p w:rsidR="00AE6DAD" w:rsidRPr="0036099F" w:rsidRDefault="00AE6DAD" w:rsidP="009102A6">
                            <w:pPr>
                              <w:ind w:right="10"/>
                              <w:rPr>
                                <w:b/>
                              </w:rPr>
                            </w:pPr>
                            <w:r w:rsidRPr="009102A6">
                              <w:rPr>
                                <w:b/>
                              </w:rPr>
                              <w:t>Table 1:</w:t>
                            </w:r>
                            <w:r>
                              <w:t xml:space="preserve"> Buret Calibration Data (Buret volume and mass of water dispensed)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id="Text Box 1" o:spid="_x0000_s1027" type="#_x0000_t202" style="position:absolute;margin-left:3.75pt;margin-top:2.35pt;width:234pt;height:35.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" filled="f" stroked="f">
                <v:path arrowok="t"/>
                <v:textbox style="mso-fit-shape-to-text:t">
                  <w:txbxContent>
                    <w:p w:rsidR="00AE6DAD" w:rsidRPr="0036099F" w:rsidRDefault="00AE6DAD" w:rsidP="009102A6">
                      <w:pPr>
                        <w:ind w:right="10"/>
                        <w:rPr>
                          <w:b/>
                        </w:rPr>
                      </w:pPr>
                      <w:bookmarkStart w:id="1" w:name="_GoBack"/>
                      <w:r w:rsidRPr="009102A6">
                        <w:rPr>
                          <w:b/>
                        </w:rPr>
                        <w:t>Table 1:</w:t>
                      </w:r>
                      <w:r>
                        <w:t xml:space="preserve"> Buret Calibration Data (Buret volume and mass of water dispensed)</w:t>
                      </w:r>
                      <w:bookmarkEnd w:id="1"/>
                    </w:p>
                  </w:txbxContent>
                </v:textbox>
                <w10:wrap type="square"/>
              </v:shape>
            </w:pict>
          </mc:Fallback>
        </mc:AlternateContent>
      </w:r>
      <w:r w:rsidR="00373A08">
        <w:t>Use the data in Table 1 to calibrate the buret. Please describe the outcome of the calib</w:t>
      </w:r>
      <w:r w:rsidR="00E81787">
        <w:t xml:space="preserve">ration process (consider using </w:t>
      </w:r>
      <w:r w:rsidR="00373A08">
        <w:t xml:space="preserve">text, </w:t>
      </w:r>
      <w:r w:rsidR="00E81787">
        <w:t xml:space="preserve">a </w:t>
      </w:r>
      <w:r w:rsidR="00373A08">
        <w:t xml:space="preserve">table and/or </w:t>
      </w:r>
      <w:r w:rsidR="00E81787">
        <w:t xml:space="preserve">a </w:t>
      </w:r>
      <w:r w:rsidR="00373A08">
        <w:t>figure to describe the outcome).</w:t>
      </w:r>
    </w:p>
    <w:p w:rsidR="00973EA6" w:rsidRDefault="00973EA6"/>
    <w:p w:rsidR="00973EA6" w:rsidRDefault="00973EA6" w:rsidP="009102A6">
      <w:pPr>
        <w:ind w:right="3870"/>
      </w:pPr>
    </w:p>
    <w:p w:rsidR="00973EA6" w:rsidRDefault="00973EA6"/>
    <w:p w:rsidR="00973EA6" w:rsidRDefault="00451B7B">
      <w:r w:rsidRPr="00AC2E30">
        <w:rPr>
          <w:b/>
        </w:rPr>
        <w:t>Question 3:</w:t>
      </w:r>
      <w:r>
        <w:t xml:space="preserve"> Does the class </w:t>
      </w:r>
      <w:proofErr w:type="gramStart"/>
      <w:r>
        <w:t>A</w:t>
      </w:r>
      <w:proofErr w:type="gramEnd"/>
      <w:r>
        <w:t xml:space="preserve"> buret accurately deliver the measured volume? Explain.</w:t>
      </w:r>
    </w:p>
    <w:p w:rsidR="00451B7B" w:rsidRDefault="00451B7B"/>
    <w:p w:rsidR="00451B7B" w:rsidRDefault="00451B7B"/>
    <w:p w:rsidR="00451B7B" w:rsidRDefault="00451B7B"/>
    <w:p w:rsidR="00451B7B" w:rsidRDefault="00451B7B">
      <w:r w:rsidRPr="00AC2E30">
        <w:rPr>
          <w:b/>
        </w:rPr>
        <w:t>Question 4:</w:t>
      </w:r>
      <w:r>
        <w:t xml:space="preserve"> What evidence exists for the presence </w:t>
      </w:r>
      <w:r w:rsidR="00D4509D">
        <w:t>of random and systematic errors?</w:t>
      </w:r>
      <w:r w:rsidR="00AE6DAD">
        <w:t xml:space="preserve">  </w:t>
      </w:r>
    </w:p>
    <w:p w:rsidR="00451B7B" w:rsidRDefault="00451B7B"/>
    <w:p w:rsidR="00451B7B" w:rsidRDefault="00451B7B"/>
    <w:p w:rsidR="00451B7B" w:rsidRDefault="00451B7B"/>
    <w:p w:rsidR="00451B7B" w:rsidRDefault="00451B7B">
      <w:r w:rsidRPr="00AC2E30">
        <w:rPr>
          <w:b/>
        </w:rPr>
        <w:t>Question 5:</w:t>
      </w:r>
      <w:r>
        <w:t xml:space="preserve"> If random or systematic errors are observed, hypothesize a source of the error(s).</w:t>
      </w:r>
    </w:p>
    <w:p w:rsidR="00973EA6" w:rsidRDefault="00973EA6"/>
    <w:p w:rsidR="00DC52A0" w:rsidRDefault="00DC52A0"/>
    <w:p w:rsidR="00DC52A0" w:rsidRDefault="00DC52A0"/>
    <w:p w:rsidR="00D4509D" w:rsidRPr="00D4509D" w:rsidRDefault="00D4509D">
      <w:pPr>
        <w:rPr>
          <w:b/>
        </w:rPr>
      </w:pPr>
      <w:r w:rsidRPr="00D4509D">
        <w:rPr>
          <w:b/>
        </w:rPr>
        <w:t>Part 2: Standardization of NaOH solution</w:t>
      </w:r>
    </w:p>
    <w:p w:rsidR="00D4509D" w:rsidRDefault="00971316">
      <w:r>
        <w:t>You will be u</w:t>
      </w:r>
      <w:r w:rsidR="00D4509D">
        <w:t xml:space="preserve">sing the buret calibrated in </w:t>
      </w:r>
      <w:r>
        <w:t xml:space="preserve">Part 1 of this exercise </w:t>
      </w:r>
      <w:r w:rsidR="00D4509D">
        <w:t>and the data provided in Table 2 report the standardized</w:t>
      </w:r>
      <w:r w:rsidR="00B86ADA">
        <w:t xml:space="preserve"> concentration of the</w:t>
      </w:r>
      <w:r w:rsidR="00D4509D">
        <w:t xml:space="preserve"> NaOH solution. The NaOH solution is standardized using the titration of a primary standard of KHP</w:t>
      </w:r>
      <w:r w:rsidR="0020382F">
        <w:t xml:space="preserve"> (Figure </w:t>
      </w:r>
      <w:r w:rsidR="00305E67">
        <w:t>2</w:t>
      </w:r>
      <w:r w:rsidR="0020382F">
        <w:t>)</w:t>
      </w:r>
      <w:r w:rsidR="00D4509D">
        <w:t xml:space="preserve">. The titration reaction </w:t>
      </w:r>
      <w:r w:rsidR="00D22D6A">
        <w:t>of KHP with NaOH is as follows:</w:t>
      </w:r>
    </w:p>
    <w:p w:rsidR="00D22D6A" w:rsidRDefault="00D22D6A"/>
    <w:p w:rsidR="00D22D6A" w:rsidRDefault="00747C01">
      <w:r>
        <w:rPr>
          <w:noProof/>
        </w:rPr>
        <mc:AlternateContent>
          <mc:Choice Requires="wps">
            <w:drawing>
              <wp:anchor distT="0" distB="0" distL="114300" distR="114300" simplePos="0" relativeHeight="251665408" behindDoc="0" locked="0" layoutInCell="1" allowOverlap="1">
                <wp:simplePos x="0" y="0"/>
                <wp:positionH relativeFrom="column">
                  <wp:posOffset>2133600</wp:posOffset>
                </wp:positionH>
                <wp:positionV relativeFrom="paragraph">
                  <wp:posOffset>98425</wp:posOffset>
                </wp:positionV>
                <wp:extent cx="257175" cy="0"/>
                <wp:effectExtent l="38100" t="76200" r="28575" b="133350"/>
                <wp:wrapNone/>
                <wp:docPr id="8" name="Straight Arrow Connector 8"/>
                <wp:cNvGraphicFramePr/>
                <a:graphic xmlns:a="http://schemas.openxmlformats.org/drawingml/2006/main">
                  <a:graphicData uri="http://schemas.microsoft.com/office/word/2010/wordprocessingShape">
                    <wps:wsp>
                      <wps:cNvCnPr/>
                      <wps:spPr>
                        <a:xfrm>
                          <a:off x="0" y="0"/>
                          <a:ext cx="257175" cy="0"/>
                        </a:xfrm>
                        <a:prstGeom prst="straightConnector1">
                          <a:avLst/>
                        </a:prstGeom>
                        <a:ln w="12700">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type w14:anchorId="163A5885" id="_x0000_t32" coordsize="21600,21600" o:spt="32" o:oned="t" path="m,l21600,21600e" filled="f">
                <v:path arrowok="t" fillok="f" o:connecttype="none"/>
                <o:lock v:ext="edit" shapetype="t"/>
              </v:shapetype>
              <v:shape id="Straight Arrow Connector 8" o:spid="_x0000_s1026" type="#_x0000_t32" style="position:absolute;margin-left:168pt;margin-top:7.75pt;width:20.25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" strokecolor="black [3213]" strokeweight="1pt">
                <v:stroke endarrow="block"/>
                <v:shadow on="t" color="black" opacity="24903f" origin=",.5" offset="0,.55556mm"/>
              </v:shape>
            </w:pict>
          </mc:Fallback>
        </mc:AlternateContent>
      </w:r>
      <w:r w:rsidR="00D22D6A">
        <w:tab/>
        <w:t>C</w:t>
      </w:r>
      <w:r w:rsidR="00D22D6A" w:rsidRPr="00D22D6A">
        <w:rPr>
          <w:vertAlign w:val="subscript"/>
        </w:rPr>
        <w:t>8</w:t>
      </w:r>
      <w:r w:rsidR="00D22D6A">
        <w:t>H</w:t>
      </w:r>
      <w:r w:rsidR="00D22D6A" w:rsidRPr="00D22D6A">
        <w:rPr>
          <w:vertAlign w:val="subscript"/>
        </w:rPr>
        <w:t>5</w:t>
      </w:r>
      <w:r w:rsidR="00D22D6A">
        <w:t>KO</w:t>
      </w:r>
      <w:r w:rsidR="00D22D6A" w:rsidRPr="00D22D6A">
        <w:rPr>
          <w:vertAlign w:val="subscript"/>
        </w:rPr>
        <w:t>4</w:t>
      </w:r>
      <w:r w:rsidR="00D22D6A">
        <w:t xml:space="preserve"> </w:t>
      </w:r>
      <w:r w:rsidR="00D22D6A" w:rsidRPr="00AC2E30">
        <w:rPr>
          <w:sz w:val="18"/>
          <w:szCs w:val="18"/>
        </w:rPr>
        <w:t>(</w:t>
      </w:r>
      <w:proofErr w:type="spellStart"/>
      <w:r w:rsidR="00D22D6A" w:rsidRPr="00AC2E30">
        <w:rPr>
          <w:sz w:val="18"/>
          <w:szCs w:val="18"/>
        </w:rPr>
        <w:t>aq</w:t>
      </w:r>
      <w:proofErr w:type="spellEnd"/>
      <w:proofErr w:type="gramStart"/>
      <w:r w:rsidR="00D22D6A" w:rsidRPr="00AC2E30">
        <w:rPr>
          <w:sz w:val="18"/>
          <w:szCs w:val="18"/>
        </w:rPr>
        <w:t>)</w:t>
      </w:r>
      <w:r w:rsidR="00D22D6A">
        <w:t xml:space="preserve"> </w:t>
      </w:r>
      <w:r w:rsidR="00AC2E30">
        <w:t xml:space="preserve"> </w:t>
      </w:r>
      <w:r w:rsidR="00D22D6A">
        <w:t>+</w:t>
      </w:r>
      <w:proofErr w:type="gramEnd"/>
      <w:r w:rsidR="00AC2E30">
        <w:t xml:space="preserve"> </w:t>
      </w:r>
      <w:r w:rsidR="00D22D6A">
        <w:t xml:space="preserve"> </w:t>
      </w:r>
      <w:proofErr w:type="spellStart"/>
      <w:r w:rsidR="00D22D6A">
        <w:t>NaOH</w:t>
      </w:r>
      <w:proofErr w:type="spellEnd"/>
      <w:r w:rsidR="00D22D6A">
        <w:t xml:space="preserve"> </w:t>
      </w:r>
      <w:r w:rsidR="00D22D6A" w:rsidRPr="00AC2E30">
        <w:rPr>
          <w:sz w:val="18"/>
          <w:szCs w:val="18"/>
        </w:rPr>
        <w:t>(</w:t>
      </w:r>
      <w:proofErr w:type="spellStart"/>
      <w:r w:rsidR="00D22D6A" w:rsidRPr="00AC2E30">
        <w:rPr>
          <w:sz w:val="18"/>
          <w:szCs w:val="18"/>
        </w:rPr>
        <w:t>aq</w:t>
      </w:r>
      <w:proofErr w:type="spellEnd"/>
      <w:r w:rsidR="00D22D6A" w:rsidRPr="00AC2E30">
        <w:rPr>
          <w:sz w:val="18"/>
          <w:szCs w:val="18"/>
        </w:rPr>
        <w:t>)</w:t>
      </w:r>
      <w:r w:rsidR="00D22D6A">
        <w:t xml:space="preserve">  </w:t>
      </w:r>
      <w:r>
        <w:t xml:space="preserve">      </w:t>
      </w:r>
      <w:r w:rsidR="00D22D6A">
        <w:t xml:space="preserve">  H</w:t>
      </w:r>
      <w:r w:rsidR="00D22D6A" w:rsidRPr="00D22D6A">
        <w:rPr>
          <w:vertAlign w:val="subscript"/>
        </w:rPr>
        <w:t>2</w:t>
      </w:r>
      <w:r w:rsidR="00D22D6A">
        <w:t xml:space="preserve">O  + </w:t>
      </w:r>
      <w:r w:rsidR="00AC2E30">
        <w:t xml:space="preserve"> </w:t>
      </w:r>
      <w:r w:rsidR="00D22D6A">
        <w:t>C</w:t>
      </w:r>
      <w:r w:rsidR="00D22D6A" w:rsidRPr="00D22D6A">
        <w:rPr>
          <w:vertAlign w:val="subscript"/>
        </w:rPr>
        <w:t>8</w:t>
      </w:r>
      <w:r w:rsidR="00D22D6A">
        <w:t>H</w:t>
      </w:r>
      <w:r w:rsidR="00D22D6A" w:rsidRPr="00D22D6A">
        <w:rPr>
          <w:vertAlign w:val="subscript"/>
        </w:rPr>
        <w:t>4</w:t>
      </w:r>
      <w:r w:rsidR="00D22D6A">
        <w:t>NaKO</w:t>
      </w:r>
      <w:r w:rsidR="00D22D6A" w:rsidRPr="00D22D6A">
        <w:rPr>
          <w:vertAlign w:val="subscript"/>
        </w:rPr>
        <w:t>4</w:t>
      </w:r>
      <w:r w:rsidR="00D22D6A">
        <w:t xml:space="preserve"> </w:t>
      </w:r>
      <w:r w:rsidR="00D22D6A" w:rsidRPr="00AC2E30">
        <w:rPr>
          <w:sz w:val="18"/>
          <w:szCs w:val="18"/>
        </w:rPr>
        <w:t>(</w:t>
      </w:r>
      <w:proofErr w:type="spellStart"/>
      <w:r w:rsidR="00D22D6A" w:rsidRPr="00AC2E30">
        <w:rPr>
          <w:sz w:val="18"/>
          <w:szCs w:val="18"/>
        </w:rPr>
        <w:t>aq</w:t>
      </w:r>
      <w:proofErr w:type="spellEnd"/>
      <w:r w:rsidR="00D22D6A" w:rsidRPr="00AC2E30">
        <w:rPr>
          <w:sz w:val="18"/>
          <w:szCs w:val="18"/>
        </w:rPr>
        <w:t>)</w:t>
      </w:r>
    </w:p>
    <w:p w:rsidR="00D4509D" w:rsidRDefault="00D4509D"/>
    <w:p w:rsidR="00AC2E30" w:rsidRDefault="00AC2E30">
      <w:r>
        <w:t xml:space="preserve">The NaOH solution is prepared by measuring out about </w:t>
      </w:r>
      <w:r w:rsidR="00CA41B5">
        <w:t>2</w:t>
      </w:r>
      <w:r w:rsidR="00E06B47">
        <w:t>5</w:t>
      </w:r>
      <w:r>
        <w:t xml:space="preserve"> g of NaOH</w:t>
      </w:r>
      <w:r w:rsidRPr="00AC2E30">
        <w:rPr>
          <w:sz w:val="18"/>
          <w:szCs w:val="18"/>
        </w:rPr>
        <w:t>(s)</w:t>
      </w:r>
      <w:r>
        <w:t xml:space="preserve">, which is then transferred to a 1 L volumetric flask. The NaOH is dissolved by filling the </w:t>
      </w:r>
      <w:r>
        <w:lastRenderedPageBreak/>
        <w:t xml:space="preserve">volumetric flask to the mark. To perform each titration approximately </w:t>
      </w:r>
      <w:r w:rsidR="00F65AAE">
        <w:t>2.5</w:t>
      </w:r>
      <w:r>
        <w:t xml:space="preserve"> g of KHP is transferred into a 100 mL beaker. The KHP is then dissolved with about 25 mL of water. The KHP is then titrated by delivering the NaOH solution from the calibrated buret from part 1. Th</w:t>
      </w:r>
      <w:r w:rsidR="00C71984">
        <w:t>is process is repeated 5 times.</w:t>
      </w:r>
    </w:p>
    <w:p w:rsidR="00B86ADA" w:rsidRDefault="00423D5E">
      <w:r>
        <w:rPr>
          <w:rFonts w:ascii="Helvetica" w:hAnsi="Helvetica" w:cs="Helvetica"/>
          <w:noProof/>
        </w:rPr>
        <mc:AlternateContent>
          <mc:Choice Requires="wps">
            <w:drawing>
              <wp:anchor distT="0" distB="0" distL="114300" distR="114300" simplePos="0" relativeHeight="251661312" behindDoc="0" locked="0" layoutInCell="1" allowOverlap="1">
                <wp:simplePos x="0" y="0"/>
                <wp:positionH relativeFrom="column">
                  <wp:posOffset>2340610</wp:posOffset>
                </wp:positionH>
                <wp:positionV relativeFrom="paragraph">
                  <wp:posOffset>459105</wp:posOffset>
                </wp:positionV>
                <wp:extent cx="2286000" cy="9144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0" cy="914400"/>
                        </a:xfrm>
                        <a:prstGeom prst="rect">
                          <a:avLst/>
                        </a:prstGeom>
                        <a:noFill/>
                        <a:ln>
                          <a:noFill/>
                        </a:ln>
                        <a:effectLst/>
                        <a:extLst>
                          <a:ext uri="{FAA26D3D-D897-4be2-8F04-BA451C77F1D7}"/>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rsidR="00AE6DAD" w:rsidRDefault="00AE6DAD">
                            <w:r>
                              <w:t>C</w:t>
                            </w:r>
                            <w:r w:rsidRPr="0020382F">
                              <w:rPr>
                                <w:vertAlign w:val="subscript"/>
                              </w:rPr>
                              <w:t>8</w:t>
                            </w:r>
                            <w:r>
                              <w:t>H</w:t>
                            </w:r>
                            <w:r w:rsidRPr="0020382F">
                              <w:rPr>
                                <w:vertAlign w:val="subscript"/>
                              </w:rPr>
                              <w:t>5</w:t>
                            </w:r>
                            <w:r>
                              <w:t>KO</w:t>
                            </w:r>
                            <w:r w:rsidRPr="0020382F">
                              <w:rPr>
                                <w:vertAlign w:val="subscript"/>
                              </w:rPr>
                              <w:t>4</w:t>
                            </w:r>
                          </w:p>
                          <w:p w:rsidR="00AE6DAD" w:rsidRDefault="00AE6DAD">
                            <w:r>
                              <w:t>204.22 g mol</w:t>
                            </w:r>
                            <w:r w:rsidRPr="0020382F">
                              <w:rPr>
                                <w:vertAlign w:val="superscript"/>
                              </w:rPr>
                              <w:t>-1</w:t>
                            </w:r>
                          </w:p>
                          <w:p w:rsidR="00AE6DAD" w:rsidRDefault="00AE6DAD">
                            <w:proofErr w:type="spellStart"/>
                            <w:proofErr w:type="gramStart"/>
                            <w:r>
                              <w:t>pKa</w:t>
                            </w:r>
                            <w:proofErr w:type="spellEnd"/>
                            <w:proofErr w:type="gramEnd"/>
                            <w:r>
                              <w:t xml:space="preserve"> = 5.4</w:t>
                            </w:r>
                          </w:p>
                          <w:p w:rsidR="00AE6DAD" w:rsidRDefault="00AE6DAD">
                            <w:proofErr w:type="gramStart"/>
                            <w:r>
                              <w:t>water</w:t>
                            </w:r>
                            <w:proofErr w:type="gramEnd"/>
                            <w:r>
                              <w:t xml:space="preserve"> solubility 80 g L</w:t>
                            </w:r>
                            <w:r w:rsidRPr="0020382F">
                              <w:rPr>
                                <w:vertAlign w:val="superscript"/>
                              </w:rPr>
                              <w:t>-1</w:t>
                            </w:r>
                            <w:r>
                              <w:t xml:space="preserve"> (20 </w:t>
                            </w:r>
                            <w:r>
                              <w:rPr>
                                <w:rFonts w:ascii="Cambria" w:hAnsi="Cambria"/>
                              </w:rPr>
                              <w:t>°</w:t>
                            </w:r>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id="Text Box 4" o:spid="_x0000_s1028" type="#_x0000_t202" style="position:absolute;margin-left:184.3pt;margin-top:36.15pt;width:180pt;height:1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" filled="f" stroked="f">
                <v:path arrowok="t"/>
                <v:textbox>
                  <w:txbxContent>
                    <w:p w:rsidR="00AE6DAD" w:rsidRDefault="00AE6DAD">
                      <w:r>
                        <w:t>C</w:t>
                      </w:r>
                      <w:r w:rsidRPr="0020382F">
                        <w:rPr>
                          <w:vertAlign w:val="subscript"/>
                        </w:rPr>
                        <w:t>8</w:t>
                      </w:r>
                      <w:r>
                        <w:t>H</w:t>
                      </w:r>
                      <w:r w:rsidRPr="0020382F">
                        <w:rPr>
                          <w:vertAlign w:val="subscript"/>
                        </w:rPr>
                        <w:t>5</w:t>
                      </w:r>
                      <w:r>
                        <w:t>KO</w:t>
                      </w:r>
                      <w:r w:rsidRPr="0020382F">
                        <w:rPr>
                          <w:vertAlign w:val="subscript"/>
                        </w:rPr>
                        <w:t>4</w:t>
                      </w:r>
                    </w:p>
                    <w:p w:rsidR="00AE6DAD" w:rsidRDefault="00AE6DAD">
                      <w:r>
                        <w:t>204.22 g mol</w:t>
                      </w:r>
                      <w:r w:rsidRPr="0020382F">
                        <w:rPr>
                          <w:vertAlign w:val="superscript"/>
                        </w:rPr>
                        <w:t>-1</w:t>
                      </w:r>
                    </w:p>
                    <w:p w:rsidR="00AE6DAD" w:rsidRDefault="00AE6DAD">
                      <w:proofErr w:type="spellStart"/>
                      <w:proofErr w:type="gramStart"/>
                      <w:r>
                        <w:t>pKa</w:t>
                      </w:r>
                      <w:proofErr w:type="spellEnd"/>
                      <w:proofErr w:type="gramEnd"/>
                      <w:r>
                        <w:t xml:space="preserve"> = 5.4</w:t>
                      </w:r>
                    </w:p>
                    <w:p w:rsidR="00AE6DAD" w:rsidRDefault="00AE6DAD">
                      <w:proofErr w:type="gramStart"/>
                      <w:r>
                        <w:t>water</w:t>
                      </w:r>
                      <w:proofErr w:type="gramEnd"/>
                      <w:r>
                        <w:t xml:space="preserve"> solubility 80 g L</w:t>
                      </w:r>
                      <w:r w:rsidRPr="0020382F">
                        <w:rPr>
                          <w:vertAlign w:val="superscript"/>
                        </w:rPr>
                        <w:t>-1</w:t>
                      </w:r>
                      <w:r>
                        <w:t xml:space="preserve"> (20 </w:t>
                      </w:r>
                      <w:r>
                        <w:rPr>
                          <w:rFonts w:ascii="Cambria" w:hAnsi="Cambria"/>
                        </w:rPr>
                        <w:t>°</w:t>
                      </w:r>
                      <w:r>
                        <w:t>C)</w:t>
                      </w:r>
                    </w:p>
                  </w:txbxContent>
                </v:textbox>
              </v:shape>
            </w:pict>
          </mc:Fallback>
        </mc:AlternateContent>
      </w:r>
      <w:r>
        <w:rPr>
          <w:rFonts w:ascii="Helvetica" w:hAnsi="Helvetica" w:cs="Helvetica"/>
          <w:noProof/>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2192655</wp:posOffset>
                </wp:positionV>
                <wp:extent cx="3657600" cy="68580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7600" cy="685800"/>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rsidR="00AE6DAD" w:rsidRDefault="00AE6DAD">
                            <w:r>
                              <w:rPr>
                                <w:b/>
                              </w:rPr>
                              <w:t>Figure 2</w:t>
                            </w:r>
                            <w:r w:rsidRPr="0020382F">
                              <w:rPr>
                                <w:b/>
                              </w:rPr>
                              <w:t>:</w:t>
                            </w:r>
                            <w:r>
                              <w:t xml:space="preserve"> Chemical structure for potassium hydrogen phthalate (KHP) and properties.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w:pict>
              <v:shape id="Text Box 3" o:spid="_x0000_s1029" type="#_x0000_t202" style="position:absolute;margin-left:0;margin-top:172.65pt;width:4in;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" filled="f" stroked="f">
                <v:path arrowok="t"/>
                <v:textbox>
                  <w:txbxContent>
                    <w:p w:rsidR="00AE6DAD" w:rsidRDefault="00AE6DAD">
                      <w:r>
                        <w:rPr>
                          <w:b/>
                        </w:rPr>
                        <w:t>Figure 2</w:t>
                      </w:r>
                      <w:r w:rsidRPr="0020382F">
                        <w:rPr>
                          <w:b/>
                        </w:rPr>
                        <w:t>:</w:t>
                      </w:r>
                      <w:r>
                        <w:t xml:space="preserve"> Chemical structure for potassium hydrogen phthalate (KHP) and properties.</w:t>
                      </w:r>
                    </w:p>
                  </w:txbxContent>
                </v:textbox>
                <w10:wrap type="square"/>
              </v:shape>
            </w:pict>
          </mc:Fallback>
        </mc:AlternateContent>
      </w:r>
      <w:r w:rsidR="00D4509D">
        <w:rPr>
          <w:rFonts w:ascii="Helvetica" w:hAnsi="Helvetica" w:cs="Helvetica"/>
          <w:noProof/>
        </w:rPr>
        <w:drawing>
          <wp:inline distT="0" distB="0" distL="0" distR="0">
            <wp:extent cx="2341190" cy="1744186"/>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50409" cy="1751054"/>
                    </a:xfrm>
                    <a:prstGeom prst="rect">
                      <a:avLst/>
                    </a:prstGeom>
                    <a:noFill/>
                    <a:ln>
                      <a:noFill/>
                    </a:ln>
                  </pic:spPr>
                </pic:pic>
              </a:graphicData>
            </a:graphic>
          </wp:inline>
        </w:drawing>
      </w:r>
    </w:p>
    <w:p w:rsidR="00B86ADA" w:rsidRPr="00B86ADA" w:rsidRDefault="00B86ADA" w:rsidP="00B86ADA"/>
    <w:p w:rsidR="00B86ADA" w:rsidRPr="00B86ADA" w:rsidRDefault="00B86ADA" w:rsidP="00B86ADA"/>
    <w:p w:rsidR="0009223F" w:rsidRDefault="0009223F" w:rsidP="00B86ADA">
      <w:pPr>
        <w:tabs>
          <w:tab w:val="left" w:pos="2880"/>
        </w:tabs>
      </w:pPr>
    </w:p>
    <w:p w:rsidR="00B86ADA" w:rsidRDefault="00CA41B5" w:rsidP="00B86ADA">
      <w:pPr>
        <w:tabs>
          <w:tab w:val="left" w:pos="2880"/>
        </w:tabs>
      </w:pPr>
      <w:r>
        <w:t>The progress of the titration reaction is monitored using a color indicator</w:t>
      </w:r>
      <w:r w:rsidRPr="00CA41B5">
        <w:rPr>
          <w:rFonts w:ascii="Arial" w:hAnsi="Arial" w:cs="Arial"/>
          <w:color w:val="424242"/>
          <w:sz w:val="26"/>
          <w:szCs w:val="26"/>
        </w:rPr>
        <w:t xml:space="preserve"> </w:t>
      </w:r>
      <w:r>
        <w:t>(phenolphthalein). As the titration reaction progress</w:t>
      </w:r>
      <w:r w:rsidR="00DC52A0">
        <w:t>es</w:t>
      </w:r>
      <w:r>
        <w:t xml:space="preserve"> the endpoint is marked by the solution going from clear to pink.</w:t>
      </w:r>
    </w:p>
    <w:p w:rsidR="00AF26D9" w:rsidRDefault="00AF26D9" w:rsidP="00B86ADA">
      <w:pPr>
        <w:tabs>
          <w:tab w:val="left" w:pos="2880"/>
        </w:tabs>
      </w:pPr>
    </w:p>
    <w:p w:rsidR="00B86ADA" w:rsidRDefault="00B86ADA" w:rsidP="00B86ADA">
      <w:pPr>
        <w:tabs>
          <w:tab w:val="left" w:pos="2880"/>
        </w:tabs>
      </w:pPr>
    </w:p>
    <w:p w:rsidR="00CA41B5" w:rsidRDefault="00423D5E" w:rsidP="00B86ADA">
      <w:pPr>
        <w:tabs>
          <w:tab w:val="left" w:pos="2880"/>
        </w:tabs>
      </w:pPr>
      <w:r>
        <w:rPr>
          <w:noProof/>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-114300</wp:posOffset>
                </wp:positionV>
                <wp:extent cx="4229100" cy="3429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9100" cy="342900"/>
                        </a:xfrm>
                        <a:prstGeom prst="rect">
                          <a:avLst/>
                        </a:prstGeom>
                        <a:noFill/>
                        <a:ln>
                          <a:noFill/>
                        </a:ln>
                        <a:effectLst/>
                        <a:extLst>
                          <a:ext uri="{FAA26D3D-D897-4be2-8F04-BA451C77F1D7}"/>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rsidR="00AE6DAD" w:rsidRDefault="00AE6DAD">
                            <w:r w:rsidRPr="00C67CA8">
                              <w:rPr>
                                <w:b/>
                              </w:rPr>
                              <w:t>Table 2:</w:t>
                            </w:r>
                            <w:r>
                              <w:t xml:space="preserve"> NaOH standardization by titration of KHP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id="Text Box 5" o:spid="_x0000_s1030" type="#_x0000_t202" style="position:absolute;margin-left:0;margin-top:-9pt;width:333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" filled="f" stroked="f">
                <v:path arrowok="t"/>
                <v:textbox>
                  <w:txbxContent>
                    <w:p w:rsidR="00AE6DAD" w:rsidRDefault="00AE6DAD">
                      <w:r w:rsidRPr="00C67CA8">
                        <w:rPr>
                          <w:b/>
                        </w:rPr>
                        <w:t>Table 2:</w:t>
                      </w:r>
                      <w:r>
                        <w:t xml:space="preserve"> NaOH standardization by titration of KHP</w:t>
                      </w:r>
                    </w:p>
                  </w:txbxContent>
                </v:textbox>
              </v:shape>
            </w:pict>
          </mc:Fallback>
        </mc:AlternateContent>
      </w:r>
    </w:p>
    <w:tbl>
      <w:tblPr>
        <w:tblW w:w="6940" w:type="dxa"/>
        <w:tblInd w:w="93" w:type="dxa"/>
        <w:tblLook w:val="04A0" w:firstRow="1" w:lastRow="0" w:firstColumn="1" w:lastColumn="0" w:noHBand="0" w:noVBand="1"/>
      </w:tblPr>
      <w:tblGrid>
        <w:gridCol w:w="1720"/>
        <w:gridCol w:w="1805"/>
        <w:gridCol w:w="1680"/>
        <w:gridCol w:w="1735"/>
      </w:tblGrid>
      <w:tr w:rsidR="00CA41B5" w:rsidRPr="00CA41B5" w:rsidTr="00E81787">
        <w:trPr>
          <w:trHeight w:val="600"/>
        </w:trPr>
        <w:tc>
          <w:tcPr>
            <w:tcW w:w="1720" w:type="dxa"/>
            <w:tcBorders>
              <w:top w:val="single" w:sz="4" w:space="0" w:color="auto"/>
              <w:left w:val="nil"/>
              <w:bottom w:val="single" w:sz="4" w:space="0" w:color="auto"/>
              <w:right w:val="nil"/>
            </w:tcBorders>
            <w:shd w:val="clear" w:color="auto" w:fill="auto"/>
            <w:vAlign w:val="bottom"/>
            <w:hideMark/>
          </w:tcPr>
          <w:p w:rsidR="00CA41B5" w:rsidRPr="00CA41B5" w:rsidRDefault="00CA41B5" w:rsidP="00CA41B5">
            <w:pPr>
              <w:jc w:val="center"/>
              <w:rPr>
                <w:rFonts w:ascii="Calibri" w:eastAsia="Times New Roman" w:hAnsi="Calibri" w:cs="Times New Roman"/>
                <w:b/>
                <w:bCs/>
                <w:color w:val="000000"/>
              </w:rPr>
            </w:pPr>
            <w:r w:rsidRPr="00CA41B5">
              <w:rPr>
                <w:rFonts w:ascii="Calibri" w:eastAsia="Times New Roman" w:hAnsi="Calibri" w:cs="Times New Roman"/>
                <w:b/>
                <w:bCs/>
                <w:color w:val="000000"/>
              </w:rPr>
              <w:t>Trial</w:t>
            </w:r>
          </w:p>
        </w:tc>
        <w:tc>
          <w:tcPr>
            <w:tcW w:w="1805" w:type="dxa"/>
            <w:tcBorders>
              <w:top w:val="single" w:sz="4" w:space="0" w:color="auto"/>
              <w:left w:val="nil"/>
              <w:bottom w:val="single" w:sz="4" w:space="0" w:color="auto"/>
              <w:right w:val="nil"/>
            </w:tcBorders>
            <w:shd w:val="clear" w:color="auto" w:fill="auto"/>
            <w:vAlign w:val="bottom"/>
            <w:hideMark/>
          </w:tcPr>
          <w:p w:rsidR="00CA41B5" w:rsidRPr="00CA41B5" w:rsidRDefault="00CA41B5" w:rsidP="00CA41B5">
            <w:pPr>
              <w:jc w:val="center"/>
              <w:rPr>
                <w:rFonts w:ascii="Calibri" w:eastAsia="Times New Roman" w:hAnsi="Calibri" w:cs="Times New Roman"/>
                <w:b/>
                <w:bCs/>
                <w:color w:val="000000"/>
              </w:rPr>
            </w:pPr>
            <w:r w:rsidRPr="00CA41B5">
              <w:rPr>
                <w:rFonts w:ascii="Calibri" w:eastAsia="Times New Roman" w:hAnsi="Calibri" w:cs="Times New Roman"/>
                <w:b/>
                <w:bCs/>
                <w:color w:val="000000"/>
              </w:rPr>
              <w:t>Mass of KHP (g)</w:t>
            </w:r>
          </w:p>
        </w:tc>
        <w:tc>
          <w:tcPr>
            <w:tcW w:w="1680" w:type="dxa"/>
            <w:tcBorders>
              <w:top w:val="single" w:sz="4" w:space="0" w:color="auto"/>
              <w:left w:val="nil"/>
              <w:bottom w:val="single" w:sz="4" w:space="0" w:color="auto"/>
              <w:right w:val="nil"/>
            </w:tcBorders>
            <w:shd w:val="clear" w:color="auto" w:fill="auto"/>
            <w:vAlign w:val="bottom"/>
            <w:hideMark/>
          </w:tcPr>
          <w:p w:rsidR="00CA41B5" w:rsidRPr="00CA41B5" w:rsidRDefault="00CA41B5" w:rsidP="00CA41B5">
            <w:pPr>
              <w:jc w:val="center"/>
              <w:rPr>
                <w:rFonts w:ascii="Calibri" w:eastAsia="Times New Roman" w:hAnsi="Calibri" w:cs="Times New Roman"/>
                <w:b/>
                <w:bCs/>
                <w:color w:val="000000"/>
              </w:rPr>
            </w:pPr>
            <w:r w:rsidRPr="00CA41B5">
              <w:rPr>
                <w:rFonts w:ascii="Calibri" w:eastAsia="Times New Roman" w:hAnsi="Calibri" w:cs="Times New Roman"/>
                <w:b/>
                <w:bCs/>
                <w:color w:val="000000"/>
              </w:rPr>
              <w:t>Starting Buret Reading (mL)</w:t>
            </w:r>
          </w:p>
        </w:tc>
        <w:tc>
          <w:tcPr>
            <w:tcW w:w="1735" w:type="dxa"/>
            <w:tcBorders>
              <w:top w:val="single" w:sz="4" w:space="0" w:color="auto"/>
              <w:left w:val="nil"/>
              <w:bottom w:val="single" w:sz="4" w:space="0" w:color="auto"/>
              <w:right w:val="nil"/>
            </w:tcBorders>
            <w:shd w:val="clear" w:color="auto" w:fill="auto"/>
            <w:vAlign w:val="bottom"/>
            <w:hideMark/>
          </w:tcPr>
          <w:p w:rsidR="00CA41B5" w:rsidRPr="00CA41B5" w:rsidRDefault="00CA41B5" w:rsidP="00CA41B5">
            <w:pPr>
              <w:jc w:val="center"/>
              <w:rPr>
                <w:rFonts w:ascii="Calibri" w:eastAsia="Times New Roman" w:hAnsi="Calibri" w:cs="Times New Roman"/>
                <w:b/>
                <w:bCs/>
                <w:color w:val="000000"/>
              </w:rPr>
            </w:pPr>
            <w:r w:rsidRPr="00CA41B5">
              <w:rPr>
                <w:rFonts w:ascii="Calibri" w:eastAsia="Times New Roman" w:hAnsi="Calibri" w:cs="Times New Roman"/>
                <w:b/>
                <w:bCs/>
                <w:color w:val="000000"/>
              </w:rPr>
              <w:t>Final Buret Reading (mL)</w:t>
            </w:r>
          </w:p>
        </w:tc>
      </w:tr>
      <w:tr w:rsidR="00CA41B5" w:rsidRPr="00CA41B5" w:rsidTr="00E81787">
        <w:trPr>
          <w:trHeight w:val="300"/>
        </w:trPr>
        <w:tc>
          <w:tcPr>
            <w:tcW w:w="1720" w:type="dxa"/>
            <w:tcBorders>
              <w:top w:val="nil"/>
              <w:left w:val="nil"/>
              <w:bottom w:val="nil"/>
              <w:right w:val="nil"/>
            </w:tcBorders>
            <w:shd w:val="clear" w:color="auto" w:fill="auto"/>
            <w:noWrap/>
            <w:vAlign w:val="bottom"/>
            <w:hideMark/>
          </w:tcPr>
          <w:p w:rsidR="00CA41B5" w:rsidRPr="00CA41B5" w:rsidRDefault="00CA41B5" w:rsidP="00CA41B5">
            <w:pPr>
              <w:jc w:val="center"/>
              <w:rPr>
                <w:rFonts w:ascii="Calibri" w:eastAsia="Times New Roman" w:hAnsi="Calibri" w:cs="Times New Roman"/>
                <w:color w:val="000000"/>
              </w:rPr>
            </w:pPr>
            <w:r w:rsidRPr="00CA41B5">
              <w:rPr>
                <w:rFonts w:ascii="Calibri" w:eastAsia="Times New Roman" w:hAnsi="Calibri" w:cs="Times New Roman"/>
                <w:color w:val="000000"/>
              </w:rPr>
              <w:t>1</w:t>
            </w:r>
          </w:p>
        </w:tc>
        <w:tc>
          <w:tcPr>
            <w:tcW w:w="1805" w:type="dxa"/>
            <w:tcBorders>
              <w:top w:val="nil"/>
              <w:left w:val="nil"/>
              <w:bottom w:val="nil"/>
              <w:right w:val="nil"/>
            </w:tcBorders>
            <w:shd w:val="clear" w:color="auto" w:fill="auto"/>
            <w:noWrap/>
            <w:vAlign w:val="bottom"/>
            <w:hideMark/>
          </w:tcPr>
          <w:p w:rsidR="00CA41B5" w:rsidRPr="00CA41B5" w:rsidRDefault="00CA41B5" w:rsidP="00CA41B5">
            <w:pPr>
              <w:jc w:val="center"/>
              <w:rPr>
                <w:rFonts w:ascii="Calibri" w:eastAsia="Times New Roman" w:hAnsi="Calibri" w:cs="Times New Roman"/>
                <w:color w:val="000000"/>
              </w:rPr>
            </w:pPr>
            <w:r w:rsidRPr="00CA41B5">
              <w:rPr>
                <w:rFonts w:ascii="Calibri" w:eastAsia="Times New Roman" w:hAnsi="Calibri" w:cs="Times New Roman"/>
                <w:color w:val="000000"/>
              </w:rPr>
              <w:t>2.5191</w:t>
            </w:r>
          </w:p>
        </w:tc>
        <w:tc>
          <w:tcPr>
            <w:tcW w:w="1680" w:type="dxa"/>
            <w:tcBorders>
              <w:top w:val="nil"/>
              <w:left w:val="nil"/>
              <w:bottom w:val="nil"/>
              <w:right w:val="nil"/>
            </w:tcBorders>
            <w:shd w:val="clear" w:color="auto" w:fill="auto"/>
            <w:noWrap/>
            <w:vAlign w:val="bottom"/>
            <w:hideMark/>
          </w:tcPr>
          <w:p w:rsidR="00CA41B5" w:rsidRPr="00CA41B5" w:rsidRDefault="00CA41B5" w:rsidP="00CA41B5">
            <w:pPr>
              <w:jc w:val="center"/>
              <w:rPr>
                <w:rFonts w:ascii="Calibri" w:eastAsia="Times New Roman" w:hAnsi="Calibri" w:cs="Times New Roman"/>
                <w:color w:val="000000"/>
              </w:rPr>
            </w:pPr>
            <w:r w:rsidRPr="00CA41B5">
              <w:rPr>
                <w:rFonts w:ascii="Calibri" w:eastAsia="Times New Roman" w:hAnsi="Calibri" w:cs="Times New Roman"/>
                <w:color w:val="000000"/>
              </w:rPr>
              <w:t>0.04</w:t>
            </w:r>
          </w:p>
        </w:tc>
        <w:tc>
          <w:tcPr>
            <w:tcW w:w="1735" w:type="dxa"/>
            <w:tcBorders>
              <w:top w:val="nil"/>
              <w:left w:val="nil"/>
              <w:bottom w:val="nil"/>
              <w:right w:val="nil"/>
            </w:tcBorders>
            <w:shd w:val="clear" w:color="auto" w:fill="auto"/>
            <w:noWrap/>
            <w:vAlign w:val="bottom"/>
            <w:hideMark/>
          </w:tcPr>
          <w:p w:rsidR="00CA41B5" w:rsidRPr="00CA41B5" w:rsidRDefault="00CA41B5" w:rsidP="00CA41B5">
            <w:pPr>
              <w:jc w:val="center"/>
              <w:rPr>
                <w:rFonts w:ascii="Calibri" w:eastAsia="Times New Roman" w:hAnsi="Calibri" w:cs="Times New Roman"/>
                <w:color w:val="000000"/>
              </w:rPr>
            </w:pPr>
            <w:r w:rsidRPr="00CA41B5">
              <w:rPr>
                <w:rFonts w:ascii="Calibri" w:eastAsia="Times New Roman" w:hAnsi="Calibri" w:cs="Times New Roman"/>
                <w:color w:val="000000"/>
              </w:rPr>
              <w:t>19.26</w:t>
            </w:r>
          </w:p>
        </w:tc>
      </w:tr>
      <w:tr w:rsidR="00CA41B5" w:rsidRPr="00CA41B5" w:rsidTr="00E81787">
        <w:trPr>
          <w:trHeight w:val="300"/>
        </w:trPr>
        <w:tc>
          <w:tcPr>
            <w:tcW w:w="1720" w:type="dxa"/>
            <w:tcBorders>
              <w:top w:val="nil"/>
              <w:left w:val="nil"/>
              <w:bottom w:val="nil"/>
              <w:right w:val="nil"/>
            </w:tcBorders>
            <w:shd w:val="clear" w:color="auto" w:fill="auto"/>
            <w:noWrap/>
            <w:vAlign w:val="bottom"/>
            <w:hideMark/>
          </w:tcPr>
          <w:p w:rsidR="00CA41B5" w:rsidRPr="00CA41B5" w:rsidRDefault="00CA41B5" w:rsidP="00CA41B5">
            <w:pPr>
              <w:jc w:val="center"/>
              <w:rPr>
                <w:rFonts w:ascii="Calibri" w:eastAsia="Times New Roman" w:hAnsi="Calibri" w:cs="Times New Roman"/>
                <w:color w:val="000000"/>
              </w:rPr>
            </w:pPr>
            <w:r w:rsidRPr="00CA41B5">
              <w:rPr>
                <w:rFonts w:ascii="Calibri" w:eastAsia="Times New Roman" w:hAnsi="Calibri" w:cs="Times New Roman"/>
                <w:color w:val="000000"/>
              </w:rPr>
              <w:t>2</w:t>
            </w:r>
          </w:p>
        </w:tc>
        <w:tc>
          <w:tcPr>
            <w:tcW w:w="1805" w:type="dxa"/>
            <w:tcBorders>
              <w:top w:val="nil"/>
              <w:left w:val="nil"/>
              <w:bottom w:val="nil"/>
              <w:right w:val="nil"/>
            </w:tcBorders>
            <w:shd w:val="clear" w:color="auto" w:fill="auto"/>
            <w:noWrap/>
            <w:vAlign w:val="bottom"/>
            <w:hideMark/>
          </w:tcPr>
          <w:p w:rsidR="00CA41B5" w:rsidRPr="00CA41B5" w:rsidRDefault="00CA41B5" w:rsidP="00CA41B5">
            <w:pPr>
              <w:jc w:val="center"/>
              <w:rPr>
                <w:rFonts w:ascii="Calibri" w:eastAsia="Times New Roman" w:hAnsi="Calibri" w:cs="Times New Roman"/>
                <w:color w:val="000000"/>
              </w:rPr>
            </w:pPr>
            <w:r w:rsidRPr="00CA41B5">
              <w:rPr>
                <w:rFonts w:ascii="Calibri" w:eastAsia="Times New Roman" w:hAnsi="Calibri" w:cs="Times New Roman"/>
                <w:color w:val="000000"/>
              </w:rPr>
              <w:t>2.4875</w:t>
            </w:r>
          </w:p>
        </w:tc>
        <w:tc>
          <w:tcPr>
            <w:tcW w:w="1680" w:type="dxa"/>
            <w:tcBorders>
              <w:top w:val="nil"/>
              <w:left w:val="nil"/>
              <w:bottom w:val="nil"/>
              <w:right w:val="nil"/>
            </w:tcBorders>
            <w:shd w:val="clear" w:color="auto" w:fill="auto"/>
            <w:noWrap/>
            <w:vAlign w:val="bottom"/>
            <w:hideMark/>
          </w:tcPr>
          <w:p w:rsidR="00CA41B5" w:rsidRPr="00CA41B5" w:rsidRDefault="00CA41B5" w:rsidP="00CA41B5">
            <w:pPr>
              <w:jc w:val="center"/>
              <w:rPr>
                <w:rFonts w:ascii="Calibri" w:eastAsia="Times New Roman" w:hAnsi="Calibri" w:cs="Times New Roman"/>
                <w:color w:val="000000"/>
              </w:rPr>
            </w:pPr>
            <w:r w:rsidRPr="00CA41B5">
              <w:rPr>
                <w:rFonts w:ascii="Calibri" w:eastAsia="Times New Roman" w:hAnsi="Calibri" w:cs="Times New Roman"/>
                <w:color w:val="000000"/>
              </w:rPr>
              <w:t>0.02</w:t>
            </w:r>
          </w:p>
        </w:tc>
        <w:tc>
          <w:tcPr>
            <w:tcW w:w="1735" w:type="dxa"/>
            <w:tcBorders>
              <w:top w:val="nil"/>
              <w:left w:val="nil"/>
              <w:bottom w:val="nil"/>
              <w:right w:val="nil"/>
            </w:tcBorders>
            <w:shd w:val="clear" w:color="auto" w:fill="auto"/>
            <w:noWrap/>
            <w:vAlign w:val="bottom"/>
            <w:hideMark/>
          </w:tcPr>
          <w:p w:rsidR="00CA41B5" w:rsidRPr="00CA41B5" w:rsidRDefault="00CA41B5" w:rsidP="00CA41B5">
            <w:pPr>
              <w:jc w:val="center"/>
              <w:rPr>
                <w:rFonts w:ascii="Calibri" w:eastAsia="Times New Roman" w:hAnsi="Calibri" w:cs="Times New Roman"/>
                <w:color w:val="000000"/>
              </w:rPr>
            </w:pPr>
            <w:r w:rsidRPr="00CA41B5">
              <w:rPr>
                <w:rFonts w:ascii="Calibri" w:eastAsia="Times New Roman" w:hAnsi="Calibri" w:cs="Times New Roman"/>
                <w:color w:val="000000"/>
              </w:rPr>
              <w:t>19.21</w:t>
            </w:r>
          </w:p>
        </w:tc>
      </w:tr>
      <w:tr w:rsidR="00CA41B5" w:rsidRPr="00CA41B5" w:rsidTr="00E81787">
        <w:trPr>
          <w:trHeight w:val="300"/>
        </w:trPr>
        <w:tc>
          <w:tcPr>
            <w:tcW w:w="1720" w:type="dxa"/>
            <w:tcBorders>
              <w:top w:val="nil"/>
              <w:left w:val="nil"/>
              <w:bottom w:val="nil"/>
              <w:right w:val="nil"/>
            </w:tcBorders>
            <w:shd w:val="clear" w:color="auto" w:fill="auto"/>
            <w:noWrap/>
            <w:vAlign w:val="bottom"/>
            <w:hideMark/>
          </w:tcPr>
          <w:p w:rsidR="00CA41B5" w:rsidRPr="00CA41B5" w:rsidRDefault="00CA41B5" w:rsidP="00CA41B5">
            <w:pPr>
              <w:jc w:val="center"/>
              <w:rPr>
                <w:rFonts w:ascii="Calibri" w:eastAsia="Times New Roman" w:hAnsi="Calibri" w:cs="Times New Roman"/>
                <w:color w:val="000000"/>
              </w:rPr>
            </w:pPr>
            <w:r w:rsidRPr="00CA41B5">
              <w:rPr>
                <w:rFonts w:ascii="Calibri" w:eastAsia="Times New Roman" w:hAnsi="Calibri" w:cs="Times New Roman"/>
                <w:color w:val="000000"/>
              </w:rPr>
              <w:t>3</w:t>
            </w:r>
          </w:p>
        </w:tc>
        <w:tc>
          <w:tcPr>
            <w:tcW w:w="1805" w:type="dxa"/>
            <w:tcBorders>
              <w:top w:val="nil"/>
              <w:left w:val="nil"/>
              <w:bottom w:val="nil"/>
              <w:right w:val="nil"/>
            </w:tcBorders>
            <w:shd w:val="clear" w:color="auto" w:fill="auto"/>
            <w:noWrap/>
            <w:vAlign w:val="bottom"/>
            <w:hideMark/>
          </w:tcPr>
          <w:p w:rsidR="00CA41B5" w:rsidRPr="00CA41B5" w:rsidRDefault="00CA41B5" w:rsidP="00CA41B5">
            <w:pPr>
              <w:jc w:val="center"/>
              <w:rPr>
                <w:rFonts w:ascii="Calibri" w:eastAsia="Times New Roman" w:hAnsi="Calibri" w:cs="Times New Roman"/>
                <w:color w:val="000000"/>
              </w:rPr>
            </w:pPr>
            <w:r w:rsidRPr="00CA41B5">
              <w:rPr>
                <w:rFonts w:ascii="Calibri" w:eastAsia="Times New Roman" w:hAnsi="Calibri" w:cs="Times New Roman"/>
                <w:color w:val="000000"/>
              </w:rPr>
              <w:t>2.5503</w:t>
            </w:r>
          </w:p>
        </w:tc>
        <w:tc>
          <w:tcPr>
            <w:tcW w:w="1680" w:type="dxa"/>
            <w:tcBorders>
              <w:top w:val="nil"/>
              <w:left w:val="nil"/>
              <w:bottom w:val="nil"/>
              <w:right w:val="nil"/>
            </w:tcBorders>
            <w:shd w:val="clear" w:color="auto" w:fill="auto"/>
            <w:noWrap/>
            <w:vAlign w:val="bottom"/>
            <w:hideMark/>
          </w:tcPr>
          <w:p w:rsidR="00CA41B5" w:rsidRPr="00CA41B5" w:rsidRDefault="00CA41B5" w:rsidP="00CA41B5">
            <w:pPr>
              <w:jc w:val="center"/>
              <w:rPr>
                <w:rFonts w:ascii="Calibri" w:eastAsia="Times New Roman" w:hAnsi="Calibri" w:cs="Times New Roman"/>
                <w:color w:val="000000"/>
              </w:rPr>
            </w:pPr>
            <w:r w:rsidRPr="00CA41B5">
              <w:rPr>
                <w:rFonts w:ascii="Calibri" w:eastAsia="Times New Roman" w:hAnsi="Calibri" w:cs="Times New Roman"/>
                <w:color w:val="000000"/>
              </w:rPr>
              <w:t>0.03</w:t>
            </w:r>
          </w:p>
        </w:tc>
        <w:tc>
          <w:tcPr>
            <w:tcW w:w="1735" w:type="dxa"/>
            <w:tcBorders>
              <w:top w:val="nil"/>
              <w:left w:val="nil"/>
              <w:bottom w:val="nil"/>
              <w:right w:val="nil"/>
            </w:tcBorders>
            <w:shd w:val="clear" w:color="auto" w:fill="auto"/>
            <w:noWrap/>
            <w:vAlign w:val="bottom"/>
            <w:hideMark/>
          </w:tcPr>
          <w:p w:rsidR="00CA41B5" w:rsidRPr="00CA41B5" w:rsidRDefault="00CA41B5" w:rsidP="00CA41B5">
            <w:pPr>
              <w:jc w:val="center"/>
              <w:rPr>
                <w:rFonts w:ascii="Calibri" w:eastAsia="Times New Roman" w:hAnsi="Calibri" w:cs="Times New Roman"/>
                <w:color w:val="000000"/>
              </w:rPr>
            </w:pPr>
            <w:r w:rsidRPr="00CA41B5">
              <w:rPr>
                <w:rFonts w:ascii="Calibri" w:eastAsia="Times New Roman" w:hAnsi="Calibri" w:cs="Times New Roman"/>
                <w:color w:val="000000"/>
              </w:rPr>
              <w:t>19.48</w:t>
            </w:r>
          </w:p>
        </w:tc>
      </w:tr>
      <w:tr w:rsidR="00CA41B5" w:rsidRPr="00CA41B5" w:rsidTr="00E81787">
        <w:trPr>
          <w:trHeight w:val="300"/>
        </w:trPr>
        <w:tc>
          <w:tcPr>
            <w:tcW w:w="1720" w:type="dxa"/>
            <w:tcBorders>
              <w:top w:val="nil"/>
              <w:left w:val="nil"/>
              <w:right w:val="nil"/>
            </w:tcBorders>
            <w:shd w:val="clear" w:color="auto" w:fill="auto"/>
            <w:noWrap/>
            <w:vAlign w:val="bottom"/>
            <w:hideMark/>
          </w:tcPr>
          <w:p w:rsidR="00CA41B5" w:rsidRPr="00CA41B5" w:rsidRDefault="00CA41B5" w:rsidP="00CA41B5">
            <w:pPr>
              <w:jc w:val="center"/>
              <w:rPr>
                <w:rFonts w:ascii="Calibri" w:eastAsia="Times New Roman" w:hAnsi="Calibri" w:cs="Times New Roman"/>
                <w:color w:val="000000"/>
              </w:rPr>
            </w:pPr>
            <w:r w:rsidRPr="00CA41B5">
              <w:rPr>
                <w:rFonts w:ascii="Calibri" w:eastAsia="Times New Roman" w:hAnsi="Calibri" w:cs="Times New Roman"/>
                <w:color w:val="000000"/>
              </w:rPr>
              <w:t>4</w:t>
            </w:r>
          </w:p>
        </w:tc>
        <w:tc>
          <w:tcPr>
            <w:tcW w:w="1805" w:type="dxa"/>
            <w:tcBorders>
              <w:top w:val="nil"/>
              <w:left w:val="nil"/>
              <w:right w:val="nil"/>
            </w:tcBorders>
            <w:shd w:val="clear" w:color="auto" w:fill="auto"/>
            <w:noWrap/>
            <w:vAlign w:val="bottom"/>
            <w:hideMark/>
          </w:tcPr>
          <w:p w:rsidR="00CA41B5" w:rsidRPr="00CA41B5" w:rsidRDefault="00CA41B5" w:rsidP="00CA41B5">
            <w:pPr>
              <w:jc w:val="center"/>
              <w:rPr>
                <w:rFonts w:ascii="Calibri" w:eastAsia="Times New Roman" w:hAnsi="Calibri" w:cs="Times New Roman"/>
                <w:color w:val="000000"/>
              </w:rPr>
            </w:pPr>
            <w:r w:rsidRPr="00CA41B5">
              <w:rPr>
                <w:rFonts w:ascii="Calibri" w:eastAsia="Times New Roman" w:hAnsi="Calibri" w:cs="Times New Roman"/>
                <w:color w:val="000000"/>
              </w:rPr>
              <w:t>2.5106</w:t>
            </w:r>
          </w:p>
        </w:tc>
        <w:tc>
          <w:tcPr>
            <w:tcW w:w="1680" w:type="dxa"/>
            <w:tcBorders>
              <w:top w:val="nil"/>
              <w:left w:val="nil"/>
              <w:right w:val="nil"/>
            </w:tcBorders>
            <w:shd w:val="clear" w:color="auto" w:fill="auto"/>
            <w:noWrap/>
            <w:vAlign w:val="bottom"/>
            <w:hideMark/>
          </w:tcPr>
          <w:p w:rsidR="00CA41B5" w:rsidRPr="00CA41B5" w:rsidRDefault="00CA41B5" w:rsidP="00CA41B5">
            <w:pPr>
              <w:jc w:val="center"/>
              <w:rPr>
                <w:rFonts w:ascii="Calibri" w:eastAsia="Times New Roman" w:hAnsi="Calibri" w:cs="Times New Roman"/>
                <w:color w:val="000000"/>
              </w:rPr>
            </w:pPr>
            <w:r w:rsidRPr="00CA41B5">
              <w:rPr>
                <w:rFonts w:ascii="Calibri" w:eastAsia="Times New Roman" w:hAnsi="Calibri" w:cs="Times New Roman"/>
                <w:color w:val="000000"/>
              </w:rPr>
              <w:t>1.14</w:t>
            </w:r>
          </w:p>
        </w:tc>
        <w:tc>
          <w:tcPr>
            <w:tcW w:w="1735" w:type="dxa"/>
            <w:tcBorders>
              <w:top w:val="nil"/>
              <w:left w:val="nil"/>
              <w:right w:val="nil"/>
            </w:tcBorders>
            <w:shd w:val="clear" w:color="auto" w:fill="auto"/>
            <w:noWrap/>
            <w:vAlign w:val="bottom"/>
            <w:hideMark/>
          </w:tcPr>
          <w:p w:rsidR="00CA41B5" w:rsidRPr="00CA41B5" w:rsidRDefault="00CA41B5" w:rsidP="00CA41B5">
            <w:pPr>
              <w:jc w:val="center"/>
              <w:rPr>
                <w:rFonts w:ascii="Calibri" w:eastAsia="Times New Roman" w:hAnsi="Calibri" w:cs="Times New Roman"/>
                <w:color w:val="000000"/>
              </w:rPr>
            </w:pPr>
            <w:r w:rsidRPr="00CA41B5">
              <w:rPr>
                <w:rFonts w:ascii="Calibri" w:eastAsia="Times New Roman" w:hAnsi="Calibri" w:cs="Times New Roman"/>
                <w:color w:val="000000"/>
              </w:rPr>
              <w:t>23.93</w:t>
            </w:r>
          </w:p>
        </w:tc>
      </w:tr>
      <w:tr w:rsidR="00CA41B5" w:rsidRPr="00CA41B5" w:rsidTr="00E81787">
        <w:trPr>
          <w:trHeight w:val="300"/>
        </w:trPr>
        <w:tc>
          <w:tcPr>
            <w:tcW w:w="1720" w:type="dxa"/>
            <w:tcBorders>
              <w:top w:val="nil"/>
              <w:left w:val="nil"/>
              <w:bottom w:val="single" w:sz="4" w:space="0" w:color="auto"/>
              <w:right w:val="nil"/>
            </w:tcBorders>
            <w:shd w:val="clear" w:color="auto" w:fill="auto"/>
            <w:noWrap/>
            <w:vAlign w:val="bottom"/>
            <w:hideMark/>
          </w:tcPr>
          <w:p w:rsidR="00CA41B5" w:rsidRPr="00CA41B5" w:rsidRDefault="00CA41B5" w:rsidP="00CA41B5">
            <w:pPr>
              <w:jc w:val="center"/>
              <w:rPr>
                <w:rFonts w:ascii="Calibri" w:eastAsia="Times New Roman" w:hAnsi="Calibri" w:cs="Times New Roman"/>
                <w:color w:val="000000"/>
              </w:rPr>
            </w:pPr>
            <w:r w:rsidRPr="00CA41B5">
              <w:rPr>
                <w:rFonts w:ascii="Calibri" w:eastAsia="Times New Roman" w:hAnsi="Calibri" w:cs="Times New Roman"/>
                <w:color w:val="000000"/>
              </w:rPr>
              <w:t>5</w:t>
            </w:r>
          </w:p>
        </w:tc>
        <w:tc>
          <w:tcPr>
            <w:tcW w:w="1805" w:type="dxa"/>
            <w:tcBorders>
              <w:top w:val="nil"/>
              <w:left w:val="nil"/>
              <w:bottom w:val="single" w:sz="4" w:space="0" w:color="auto"/>
              <w:right w:val="nil"/>
            </w:tcBorders>
            <w:shd w:val="clear" w:color="auto" w:fill="auto"/>
            <w:noWrap/>
            <w:vAlign w:val="bottom"/>
            <w:hideMark/>
          </w:tcPr>
          <w:p w:rsidR="00CA41B5" w:rsidRPr="00CA41B5" w:rsidRDefault="00CA41B5" w:rsidP="00CA41B5">
            <w:pPr>
              <w:jc w:val="center"/>
              <w:rPr>
                <w:rFonts w:ascii="Calibri" w:eastAsia="Times New Roman" w:hAnsi="Calibri" w:cs="Times New Roman"/>
                <w:color w:val="000000"/>
              </w:rPr>
            </w:pPr>
            <w:r w:rsidRPr="00CA41B5">
              <w:rPr>
                <w:rFonts w:ascii="Calibri" w:eastAsia="Times New Roman" w:hAnsi="Calibri" w:cs="Times New Roman"/>
                <w:color w:val="000000"/>
              </w:rPr>
              <w:t>2.4611</w:t>
            </w:r>
          </w:p>
        </w:tc>
        <w:tc>
          <w:tcPr>
            <w:tcW w:w="1680" w:type="dxa"/>
            <w:tcBorders>
              <w:top w:val="nil"/>
              <w:left w:val="nil"/>
              <w:bottom w:val="single" w:sz="4" w:space="0" w:color="auto"/>
              <w:right w:val="nil"/>
            </w:tcBorders>
            <w:shd w:val="clear" w:color="auto" w:fill="auto"/>
            <w:noWrap/>
            <w:vAlign w:val="bottom"/>
            <w:hideMark/>
          </w:tcPr>
          <w:p w:rsidR="00CA41B5" w:rsidRPr="00CA41B5" w:rsidRDefault="00CA41B5" w:rsidP="00CA41B5">
            <w:pPr>
              <w:jc w:val="center"/>
              <w:rPr>
                <w:rFonts w:ascii="Calibri" w:eastAsia="Times New Roman" w:hAnsi="Calibri" w:cs="Times New Roman"/>
                <w:color w:val="000000"/>
              </w:rPr>
            </w:pPr>
            <w:r w:rsidRPr="00CA41B5">
              <w:rPr>
                <w:rFonts w:ascii="Calibri" w:eastAsia="Times New Roman" w:hAnsi="Calibri" w:cs="Times New Roman"/>
                <w:color w:val="000000"/>
              </w:rPr>
              <w:t>0.25</w:t>
            </w:r>
          </w:p>
        </w:tc>
        <w:tc>
          <w:tcPr>
            <w:tcW w:w="1735" w:type="dxa"/>
            <w:tcBorders>
              <w:top w:val="nil"/>
              <w:left w:val="nil"/>
              <w:bottom w:val="single" w:sz="4" w:space="0" w:color="auto"/>
              <w:right w:val="nil"/>
            </w:tcBorders>
            <w:shd w:val="clear" w:color="auto" w:fill="auto"/>
            <w:noWrap/>
            <w:vAlign w:val="bottom"/>
            <w:hideMark/>
          </w:tcPr>
          <w:p w:rsidR="00CA41B5" w:rsidRPr="00CA41B5" w:rsidRDefault="00CA41B5" w:rsidP="00CA41B5">
            <w:pPr>
              <w:jc w:val="center"/>
              <w:rPr>
                <w:rFonts w:ascii="Calibri" w:eastAsia="Times New Roman" w:hAnsi="Calibri" w:cs="Times New Roman"/>
                <w:color w:val="000000"/>
              </w:rPr>
            </w:pPr>
            <w:r w:rsidRPr="00CA41B5">
              <w:rPr>
                <w:rFonts w:ascii="Calibri" w:eastAsia="Times New Roman" w:hAnsi="Calibri" w:cs="Times New Roman"/>
                <w:color w:val="000000"/>
              </w:rPr>
              <w:t>19.32</w:t>
            </w:r>
          </w:p>
        </w:tc>
      </w:tr>
    </w:tbl>
    <w:p w:rsidR="00DC52A0" w:rsidRDefault="00DC52A0" w:rsidP="00C67CA8"/>
    <w:p w:rsidR="00AF26D9" w:rsidRDefault="00AF26D9" w:rsidP="00C67CA8"/>
    <w:p w:rsidR="00C67CA8" w:rsidRDefault="00C67CA8" w:rsidP="00C67CA8">
      <w:r>
        <w:t>Use the buret calibrated in Part 1 and the data in Table 2 to standardize the NaOH solution described in Part 2. Report the concentration in molarity (M).</w:t>
      </w:r>
      <w:r w:rsidR="00A96B1A">
        <w:t xml:space="preserve"> As with Part 1, it is recommended that you utilize Microsoft Excel to manipulate data and perform the necessary mathematical operations.</w:t>
      </w:r>
    </w:p>
    <w:p w:rsidR="00AE6DAD" w:rsidRDefault="00AE6DAD" w:rsidP="00C67CA8"/>
    <w:p w:rsidR="00C67CA8" w:rsidRDefault="00C67CA8" w:rsidP="00C67CA8"/>
    <w:p w:rsidR="00B86ADA" w:rsidRDefault="00B86ADA" w:rsidP="00B86ADA">
      <w:pPr>
        <w:tabs>
          <w:tab w:val="left" w:pos="2880"/>
        </w:tabs>
      </w:pPr>
      <w:r w:rsidRPr="00A96B1A">
        <w:rPr>
          <w:b/>
        </w:rPr>
        <w:t>Question 6</w:t>
      </w:r>
      <w:r w:rsidR="00C67CA8" w:rsidRPr="00A96B1A">
        <w:rPr>
          <w:b/>
        </w:rPr>
        <w:t>:</w:t>
      </w:r>
      <w:r w:rsidR="00D2656B">
        <w:t xml:space="preserve"> How should the concentration of NaOH be reported?</w:t>
      </w:r>
    </w:p>
    <w:p w:rsidR="00B86ADA" w:rsidRDefault="00B86ADA" w:rsidP="00B86ADA">
      <w:pPr>
        <w:tabs>
          <w:tab w:val="left" w:pos="2880"/>
        </w:tabs>
      </w:pPr>
    </w:p>
    <w:p w:rsidR="00B86ADA" w:rsidRDefault="00B86ADA" w:rsidP="00B86ADA">
      <w:pPr>
        <w:tabs>
          <w:tab w:val="left" w:pos="2880"/>
        </w:tabs>
      </w:pPr>
    </w:p>
    <w:p w:rsidR="00B86ADA" w:rsidRDefault="00B86ADA" w:rsidP="00B86ADA">
      <w:pPr>
        <w:tabs>
          <w:tab w:val="left" w:pos="2880"/>
        </w:tabs>
      </w:pPr>
    </w:p>
    <w:p w:rsidR="00C67CA8" w:rsidRDefault="00C67CA8" w:rsidP="00B86ADA">
      <w:pPr>
        <w:tabs>
          <w:tab w:val="left" w:pos="2880"/>
        </w:tabs>
      </w:pPr>
    </w:p>
    <w:p w:rsidR="00A96B1A" w:rsidRDefault="00B86ADA" w:rsidP="00B86ADA">
      <w:pPr>
        <w:tabs>
          <w:tab w:val="left" w:pos="2880"/>
        </w:tabs>
      </w:pPr>
      <w:r w:rsidRPr="00A96B1A">
        <w:rPr>
          <w:b/>
        </w:rPr>
        <w:t>Question 7</w:t>
      </w:r>
      <w:r w:rsidR="00D2656B" w:rsidRPr="00A96B1A">
        <w:rPr>
          <w:b/>
        </w:rPr>
        <w:t>:</w:t>
      </w:r>
      <w:r w:rsidR="00D2656B">
        <w:t xml:space="preserve"> How was the conclusion(s) in Part 1 </w:t>
      </w:r>
      <w:r w:rsidR="00A96B1A">
        <w:t>used while completing Part 2 of this exercise?</w:t>
      </w:r>
    </w:p>
    <w:p w:rsidR="00A96B1A" w:rsidRDefault="00A96B1A" w:rsidP="00B86ADA">
      <w:pPr>
        <w:tabs>
          <w:tab w:val="left" w:pos="2880"/>
        </w:tabs>
      </w:pPr>
    </w:p>
    <w:p w:rsidR="00A96B1A" w:rsidRDefault="00A96B1A" w:rsidP="00B86ADA">
      <w:pPr>
        <w:tabs>
          <w:tab w:val="left" w:pos="2880"/>
        </w:tabs>
      </w:pPr>
    </w:p>
    <w:p w:rsidR="00A96B1A" w:rsidRDefault="00A96B1A" w:rsidP="00B86ADA">
      <w:pPr>
        <w:tabs>
          <w:tab w:val="left" w:pos="2880"/>
        </w:tabs>
      </w:pPr>
    </w:p>
    <w:p w:rsidR="00A96B1A" w:rsidRDefault="00A96B1A" w:rsidP="00B86ADA">
      <w:pPr>
        <w:tabs>
          <w:tab w:val="left" w:pos="2880"/>
        </w:tabs>
      </w:pPr>
    </w:p>
    <w:p w:rsidR="00D4509D" w:rsidRPr="00B86ADA" w:rsidRDefault="00A96B1A" w:rsidP="00B86ADA">
      <w:pPr>
        <w:tabs>
          <w:tab w:val="left" w:pos="2880"/>
        </w:tabs>
      </w:pPr>
      <w:r w:rsidRPr="00A96B1A">
        <w:rPr>
          <w:b/>
        </w:rPr>
        <w:t>Summary:</w:t>
      </w:r>
      <w:r>
        <w:t xml:space="preserve"> Prepare a single PowerPoint slide or Word document that summarizes the key results or points from this exercise. Email this document to the instructor (</w:t>
      </w:r>
      <w:hyperlink r:id="rId9" w:history="1">
        <w:r w:rsidRPr="00BA4F05">
          <w:rPr>
            <w:rStyle w:val="Hyperlink"/>
          </w:rPr>
          <w:t>chad.kinney@csupueblo.edu</w:t>
        </w:r>
      </w:hyperlink>
      <w:r>
        <w:t>).</w:t>
      </w:r>
    </w:p>
    <w:sectPr w:rsidR="00D4509D" w:rsidRPr="00B86ADA" w:rsidSect="00E81787">
      <w:pgSz w:w="12240" w:h="15840"/>
      <w:pgMar w:top="198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altName w:val="Arial"/>
    <w:charset w:val="00"/>
    <w:family w:val="auto"/>
    <w:pitch w:val="variable"/>
    <w:sig w:usb0="00000000" w:usb1="5000A1FF" w:usb2="00000000" w:usb3="00000000" w:csb0="000001BF"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82B3F89"/>
    <w:multiLevelType w:val="hybridMultilevel"/>
    <w:tmpl w:val="706C5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F043FB3"/>
    <w:multiLevelType w:val="hybridMultilevel"/>
    <w:tmpl w:val="18ACBE86"/>
    <w:lvl w:ilvl="0" w:tplc="55BCA0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D6862B5"/>
    <w:multiLevelType w:val="hybridMultilevel"/>
    <w:tmpl w:val="E62828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4C0"/>
    <w:rsid w:val="0009223F"/>
    <w:rsid w:val="000A043D"/>
    <w:rsid w:val="00102D6D"/>
    <w:rsid w:val="001401B8"/>
    <w:rsid w:val="0020382F"/>
    <w:rsid w:val="002B17CF"/>
    <w:rsid w:val="002C59C7"/>
    <w:rsid w:val="00304CAD"/>
    <w:rsid w:val="00305E67"/>
    <w:rsid w:val="00373A08"/>
    <w:rsid w:val="00423D5E"/>
    <w:rsid w:val="00451B7B"/>
    <w:rsid w:val="0048335A"/>
    <w:rsid w:val="00557A43"/>
    <w:rsid w:val="005E7E8B"/>
    <w:rsid w:val="0074316B"/>
    <w:rsid w:val="00747C01"/>
    <w:rsid w:val="007A2C1B"/>
    <w:rsid w:val="00846340"/>
    <w:rsid w:val="00853BDF"/>
    <w:rsid w:val="008C7D9A"/>
    <w:rsid w:val="008E5370"/>
    <w:rsid w:val="008E7727"/>
    <w:rsid w:val="009102A6"/>
    <w:rsid w:val="00971316"/>
    <w:rsid w:val="00973EA6"/>
    <w:rsid w:val="00A26543"/>
    <w:rsid w:val="00A96B1A"/>
    <w:rsid w:val="00AC2E30"/>
    <w:rsid w:val="00AE6DAD"/>
    <w:rsid w:val="00AF26D9"/>
    <w:rsid w:val="00B644C0"/>
    <w:rsid w:val="00B700C1"/>
    <w:rsid w:val="00B738F5"/>
    <w:rsid w:val="00B86ADA"/>
    <w:rsid w:val="00C67CA8"/>
    <w:rsid w:val="00C71984"/>
    <w:rsid w:val="00CA41B5"/>
    <w:rsid w:val="00CF1ADF"/>
    <w:rsid w:val="00D226F5"/>
    <w:rsid w:val="00D22D6A"/>
    <w:rsid w:val="00D2656B"/>
    <w:rsid w:val="00D43F13"/>
    <w:rsid w:val="00D4509D"/>
    <w:rsid w:val="00D6702C"/>
    <w:rsid w:val="00D74A0A"/>
    <w:rsid w:val="00DC52A0"/>
    <w:rsid w:val="00E06B47"/>
    <w:rsid w:val="00E81787"/>
    <w:rsid w:val="00EC653E"/>
    <w:rsid w:val="00EF2D4D"/>
    <w:rsid w:val="00F27028"/>
    <w:rsid w:val="00F65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7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7E8B"/>
    <w:pPr>
      <w:ind w:left="720"/>
      <w:contextualSpacing/>
    </w:pPr>
    <w:rPr>
      <w:rFonts w:eastAsiaTheme="minorHAnsi"/>
      <w:sz w:val="22"/>
      <w:szCs w:val="22"/>
    </w:rPr>
  </w:style>
  <w:style w:type="paragraph" w:styleId="BalloonText">
    <w:name w:val="Balloon Text"/>
    <w:basedOn w:val="Normal"/>
    <w:link w:val="BalloonTextChar"/>
    <w:uiPriority w:val="99"/>
    <w:semiHidden/>
    <w:unhideWhenUsed/>
    <w:rsid w:val="00D4509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509D"/>
    <w:rPr>
      <w:rFonts w:ascii="Lucida Grande" w:hAnsi="Lucida Grande" w:cs="Lucida Grande"/>
      <w:sz w:val="18"/>
      <w:szCs w:val="18"/>
    </w:rPr>
  </w:style>
  <w:style w:type="character" w:styleId="Hyperlink">
    <w:name w:val="Hyperlink"/>
    <w:basedOn w:val="DefaultParagraphFont"/>
    <w:uiPriority w:val="99"/>
    <w:unhideWhenUsed/>
    <w:rsid w:val="00A96B1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7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7E8B"/>
    <w:pPr>
      <w:ind w:left="720"/>
      <w:contextualSpacing/>
    </w:pPr>
    <w:rPr>
      <w:rFonts w:eastAsiaTheme="minorHAnsi"/>
      <w:sz w:val="22"/>
      <w:szCs w:val="22"/>
    </w:rPr>
  </w:style>
  <w:style w:type="paragraph" w:styleId="BalloonText">
    <w:name w:val="Balloon Text"/>
    <w:basedOn w:val="Normal"/>
    <w:link w:val="BalloonTextChar"/>
    <w:uiPriority w:val="99"/>
    <w:semiHidden/>
    <w:unhideWhenUsed/>
    <w:rsid w:val="00D4509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509D"/>
    <w:rPr>
      <w:rFonts w:ascii="Lucida Grande" w:hAnsi="Lucida Grande" w:cs="Lucida Grande"/>
      <w:sz w:val="18"/>
      <w:szCs w:val="18"/>
    </w:rPr>
  </w:style>
  <w:style w:type="character" w:styleId="Hyperlink">
    <w:name w:val="Hyperlink"/>
    <w:basedOn w:val="DefaultParagraphFont"/>
    <w:uiPriority w:val="99"/>
    <w:unhideWhenUsed/>
    <w:rsid w:val="00A96B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731131">
      <w:bodyDiv w:val="1"/>
      <w:marLeft w:val="0"/>
      <w:marRight w:val="0"/>
      <w:marTop w:val="0"/>
      <w:marBottom w:val="0"/>
      <w:divBdr>
        <w:top w:val="none" w:sz="0" w:space="0" w:color="auto"/>
        <w:left w:val="none" w:sz="0" w:space="0" w:color="auto"/>
        <w:bottom w:val="none" w:sz="0" w:space="0" w:color="auto"/>
        <w:right w:val="none" w:sz="0" w:space="0" w:color="auto"/>
      </w:divBdr>
    </w:div>
    <w:div w:id="19630729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chad.kinney@csupueblo.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8CE6B-1EEA-43DF-8F41-D1AAA5A99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1113</Words>
  <Characters>6348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CSUP</Company>
  <LinksUpToDate>false</LinksUpToDate>
  <CharactersWithSpaces>7447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Chad Kinney</dc:creator>
  <cp:lastModifiedBy>Image</cp:lastModifiedBy>
  <cp:revision>2</cp:revision>
  <dcterms:created xsi:type="dcterms:W3CDTF">2018-08-04T15:14:00Z</dcterms:created>
  <dcterms:modified xsi:type="dcterms:W3CDTF">2018-08-04T15:14:00Z</dcterms:modified>
</cp:coreProperties>
</file>