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4EB1" w:rsidRDefault="00D04EB1" w:rsidP="00D04EB1">
      <w:pPr>
        <w:rPr>
          <w:b/>
        </w:rPr>
      </w:pPr>
      <w:r>
        <w:rPr>
          <w:b/>
        </w:rPr>
        <w:t>Chromatography</w:t>
      </w:r>
    </w:p>
    <w:p w:rsidR="00D04EB1" w:rsidRDefault="00D04EB1" w:rsidP="00D04EB1"/>
    <w:p w:rsidR="00D04EB1" w:rsidRDefault="00D04EB1" w:rsidP="00D04EB1">
      <w:r>
        <w:t>Learning Objectives – After completing this exercise, students will be able to:</w:t>
      </w:r>
    </w:p>
    <w:p w:rsidR="00D04EB1" w:rsidRDefault="00D04EB1" w:rsidP="00D04EB1">
      <w:pPr>
        <w:pStyle w:val="ListParagraph"/>
        <w:numPr>
          <w:ilvl w:val="0"/>
          <w:numId w:val="1"/>
        </w:numPr>
      </w:pPr>
      <w:r>
        <w:t>Calculate the resolution of 2 peaks in a chromatographic experiment.</w:t>
      </w:r>
    </w:p>
    <w:p w:rsidR="00D04EB1" w:rsidRPr="00CC1AB7" w:rsidRDefault="00D04EB1" w:rsidP="00D04EB1">
      <w:pPr>
        <w:pStyle w:val="ListParagraph"/>
        <w:numPr>
          <w:ilvl w:val="0"/>
          <w:numId w:val="1"/>
        </w:numPr>
        <w:rPr>
          <w:b/>
        </w:rPr>
      </w:pPr>
      <w:r>
        <w:t xml:space="preserve">Use chromatographic data in a quantitative analysis. </w:t>
      </w:r>
    </w:p>
    <w:p w:rsidR="00D04EB1" w:rsidRDefault="00D04EB1" w:rsidP="00D04EB1">
      <w:pPr>
        <w:rPr>
          <w:b/>
        </w:rPr>
      </w:pPr>
    </w:p>
    <w:p w:rsidR="00D04EB1" w:rsidRDefault="00D04EB1" w:rsidP="00D04EB1"/>
    <w:p w:rsidR="00D04EB1" w:rsidRDefault="00D04EB1" w:rsidP="00D04EB1">
      <w:pPr>
        <w:pStyle w:val="ListParagraph"/>
        <w:numPr>
          <w:ilvl w:val="0"/>
          <w:numId w:val="3"/>
        </w:numPr>
      </w:pPr>
      <w:r>
        <w:t>Compounds A and B are separated in a chromatographic system.  The table below shows the retention times and peaks widths for each compound.  Determine if the peaks are separated enough to allow for quantitative analysis.</w:t>
      </w:r>
    </w:p>
    <w:p w:rsidR="00D04EB1" w:rsidRDefault="00D04EB1" w:rsidP="00D04EB1"/>
    <w:tbl>
      <w:tblPr>
        <w:tblStyle w:val="PlainTable31"/>
        <w:tblW w:w="5855" w:type="dxa"/>
        <w:jc w:val="center"/>
        <w:tblLook w:val="04A0" w:firstRow="1" w:lastRow="0" w:firstColumn="1" w:lastColumn="0" w:noHBand="0" w:noVBand="1"/>
      </w:tblPr>
      <w:tblGrid>
        <w:gridCol w:w="1590"/>
        <w:gridCol w:w="2394"/>
        <w:gridCol w:w="1871"/>
      </w:tblGrid>
      <w:tr w:rsidR="00D04EB1" w:rsidRPr="005162E1" w:rsidTr="00C32DD7">
        <w:trPr>
          <w:cnfStyle w:val="100000000000" w:firstRow="1" w:lastRow="0" w:firstColumn="0" w:lastColumn="0" w:oddVBand="0" w:evenVBand="0" w:oddHBand="0" w:evenHBand="0" w:firstRowFirstColumn="0" w:firstRowLastColumn="0" w:lastRowFirstColumn="0" w:lastRowLastColumn="0"/>
          <w:trHeight w:val="354"/>
          <w:jc w:val="center"/>
        </w:trPr>
        <w:tc>
          <w:tcPr>
            <w:cnfStyle w:val="001000000100" w:firstRow="0" w:lastRow="0" w:firstColumn="1" w:lastColumn="0" w:oddVBand="0" w:evenVBand="0" w:oddHBand="0" w:evenHBand="0" w:firstRowFirstColumn="1" w:firstRowLastColumn="0" w:lastRowFirstColumn="0" w:lastRowLastColumn="0"/>
            <w:tcW w:w="0" w:type="auto"/>
            <w:vAlign w:val="center"/>
          </w:tcPr>
          <w:p w:rsidR="00D04EB1" w:rsidRPr="005162E1" w:rsidRDefault="00D04EB1" w:rsidP="00C32DD7">
            <w:pPr>
              <w:jc w:val="center"/>
              <w:rPr>
                <w:b w:val="0"/>
              </w:rPr>
            </w:pPr>
            <w:r w:rsidRPr="005162E1">
              <w:rPr>
                <w:b w:val="0"/>
              </w:rPr>
              <w:t>Compound</w:t>
            </w:r>
          </w:p>
        </w:tc>
        <w:tc>
          <w:tcPr>
            <w:tcW w:w="0" w:type="auto"/>
            <w:vAlign w:val="center"/>
          </w:tcPr>
          <w:p w:rsidR="00D04EB1" w:rsidRPr="005162E1" w:rsidRDefault="00D04EB1" w:rsidP="00C32DD7">
            <w:pPr>
              <w:jc w:val="center"/>
              <w:cnfStyle w:val="100000000000" w:firstRow="1" w:lastRow="0" w:firstColumn="0" w:lastColumn="0" w:oddVBand="0" w:evenVBand="0" w:oddHBand="0" w:evenHBand="0" w:firstRowFirstColumn="0" w:firstRowLastColumn="0" w:lastRowFirstColumn="0" w:lastRowLastColumn="0"/>
              <w:rPr>
                <w:b w:val="0"/>
              </w:rPr>
            </w:pPr>
            <w:r w:rsidRPr="005162E1">
              <w:rPr>
                <w:b w:val="0"/>
              </w:rPr>
              <w:t>Retention time (min)</w:t>
            </w:r>
          </w:p>
        </w:tc>
        <w:tc>
          <w:tcPr>
            <w:tcW w:w="0" w:type="auto"/>
            <w:vAlign w:val="center"/>
          </w:tcPr>
          <w:p w:rsidR="00D04EB1" w:rsidRPr="005162E1" w:rsidRDefault="00D04EB1" w:rsidP="00C32DD7">
            <w:pPr>
              <w:jc w:val="center"/>
              <w:cnfStyle w:val="100000000000" w:firstRow="1" w:lastRow="0" w:firstColumn="0" w:lastColumn="0" w:oddVBand="0" w:evenVBand="0" w:oddHBand="0" w:evenHBand="0" w:firstRowFirstColumn="0" w:firstRowLastColumn="0" w:lastRowFirstColumn="0" w:lastRowLastColumn="0"/>
              <w:rPr>
                <w:b w:val="0"/>
              </w:rPr>
            </w:pPr>
            <w:r w:rsidRPr="005162E1">
              <w:rPr>
                <w:b w:val="0"/>
              </w:rPr>
              <w:t>Peak Width (min)</w:t>
            </w:r>
          </w:p>
        </w:tc>
      </w:tr>
      <w:tr w:rsidR="00D04EB1" w:rsidRPr="005162E1" w:rsidTr="00C32DD7">
        <w:trPr>
          <w:cnfStyle w:val="000000100000" w:firstRow="0" w:lastRow="0" w:firstColumn="0" w:lastColumn="0" w:oddVBand="0" w:evenVBand="0" w:oddHBand="1" w:evenHBand="0" w:firstRowFirstColumn="0" w:firstRowLastColumn="0" w:lastRowFirstColumn="0" w:lastRowLastColumn="0"/>
          <w:trHeight w:val="35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D04EB1" w:rsidRPr="005162E1" w:rsidRDefault="00D04EB1" w:rsidP="00C32DD7">
            <w:pPr>
              <w:jc w:val="center"/>
              <w:rPr>
                <w:b w:val="0"/>
              </w:rPr>
            </w:pPr>
            <w:r w:rsidRPr="005162E1">
              <w:rPr>
                <w:b w:val="0"/>
              </w:rPr>
              <w:t>A</w:t>
            </w:r>
          </w:p>
        </w:tc>
        <w:tc>
          <w:tcPr>
            <w:tcW w:w="0" w:type="auto"/>
            <w:vAlign w:val="center"/>
          </w:tcPr>
          <w:p w:rsidR="00D04EB1" w:rsidRPr="005162E1" w:rsidRDefault="00D04EB1" w:rsidP="00C32DD7">
            <w:pPr>
              <w:jc w:val="center"/>
              <w:cnfStyle w:val="000000100000" w:firstRow="0" w:lastRow="0" w:firstColumn="0" w:lastColumn="0" w:oddVBand="0" w:evenVBand="0" w:oddHBand="1" w:evenHBand="0" w:firstRowFirstColumn="0" w:firstRowLastColumn="0" w:lastRowFirstColumn="0" w:lastRowLastColumn="0"/>
            </w:pPr>
            <w:r w:rsidRPr="005162E1">
              <w:t>13.3</w:t>
            </w:r>
          </w:p>
        </w:tc>
        <w:tc>
          <w:tcPr>
            <w:tcW w:w="0" w:type="auto"/>
            <w:vAlign w:val="center"/>
          </w:tcPr>
          <w:p w:rsidR="00D04EB1" w:rsidRPr="005162E1" w:rsidRDefault="00D04EB1" w:rsidP="00C32DD7">
            <w:pPr>
              <w:jc w:val="center"/>
              <w:cnfStyle w:val="000000100000" w:firstRow="0" w:lastRow="0" w:firstColumn="0" w:lastColumn="0" w:oddVBand="0" w:evenVBand="0" w:oddHBand="1" w:evenHBand="0" w:firstRowFirstColumn="0" w:firstRowLastColumn="0" w:lastRowFirstColumn="0" w:lastRowLastColumn="0"/>
            </w:pPr>
            <w:r>
              <w:t>0.86</w:t>
            </w:r>
          </w:p>
        </w:tc>
      </w:tr>
      <w:tr w:rsidR="00D04EB1" w:rsidRPr="005162E1" w:rsidTr="00C32DD7">
        <w:trPr>
          <w:trHeight w:val="35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D04EB1" w:rsidRPr="005162E1" w:rsidRDefault="00D04EB1" w:rsidP="00C32DD7">
            <w:pPr>
              <w:jc w:val="center"/>
              <w:rPr>
                <w:b w:val="0"/>
              </w:rPr>
            </w:pPr>
            <w:r w:rsidRPr="005162E1">
              <w:rPr>
                <w:b w:val="0"/>
              </w:rPr>
              <w:t>B</w:t>
            </w:r>
          </w:p>
        </w:tc>
        <w:tc>
          <w:tcPr>
            <w:tcW w:w="0" w:type="auto"/>
            <w:vAlign w:val="center"/>
          </w:tcPr>
          <w:p w:rsidR="00D04EB1" w:rsidRPr="005162E1" w:rsidRDefault="00D04EB1" w:rsidP="00C32DD7">
            <w:pPr>
              <w:jc w:val="center"/>
              <w:cnfStyle w:val="000000000000" w:firstRow="0" w:lastRow="0" w:firstColumn="0" w:lastColumn="0" w:oddVBand="0" w:evenVBand="0" w:oddHBand="0" w:evenHBand="0" w:firstRowFirstColumn="0" w:firstRowLastColumn="0" w:lastRowFirstColumn="0" w:lastRowLastColumn="0"/>
            </w:pPr>
            <w:r w:rsidRPr="005162E1">
              <w:t>14.1</w:t>
            </w:r>
          </w:p>
        </w:tc>
        <w:tc>
          <w:tcPr>
            <w:tcW w:w="0" w:type="auto"/>
            <w:vAlign w:val="center"/>
          </w:tcPr>
          <w:p w:rsidR="00D04EB1" w:rsidRPr="005162E1" w:rsidRDefault="00D04EB1" w:rsidP="00C32DD7">
            <w:pPr>
              <w:jc w:val="center"/>
              <w:cnfStyle w:val="000000000000" w:firstRow="0" w:lastRow="0" w:firstColumn="0" w:lastColumn="0" w:oddVBand="0" w:evenVBand="0" w:oddHBand="0" w:evenHBand="0" w:firstRowFirstColumn="0" w:firstRowLastColumn="0" w:lastRowFirstColumn="0" w:lastRowLastColumn="0"/>
            </w:pPr>
            <w:r>
              <w:t>1.02</w:t>
            </w:r>
          </w:p>
        </w:tc>
      </w:tr>
    </w:tbl>
    <w:p w:rsidR="00D04EB1" w:rsidRDefault="00D04EB1" w:rsidP="00D04EB1"/>
    <w:p w:rsidR="00D04EB1" w:rsidRDefault="00D04EB1" w:rsidP="00D04EB1"/>
    <w:p w:rsidR="00D04EB1" w:rsidRDefault="00D04EB1" w:rsidP="00D04EB1">
      <w:pPr>
        <w:pStyle w:val="ListParagraph"/>
        <w:numPr>
          <w:ilvl w:val="0"/>
          <w:numId w:val="3"/>
        </w:numPr>
      </w:pPr>
      <w:proofErr w:type="spellStart"/>
      <w:r>
        <w:t>Cinnamaldehyde</w:t>
      </w:r>
      <w:proofErr w:type="spellEnd"/>
      <w:r>
        <w:t xml:space="preserve"> is the component responsible for cinnamon flavor.  It is also a potent antimicrobial compound present in essential oils.  The GC response of an artificial mixture containing six essential oil components and methyl benzoate as an internal standard is shown in the figure below.</w:t>
      </w:r>
      <w:r w:rsidR="006E27F3">
        <w:rPr>
          <w:rStyle w:val="FootnoteReference"/>
        </w:rPr>
        <w:footnoteReference w:id="1"/>
      </w:r>
      <w:r>
        <w:t xml:space="preserve">  </w:t>
      </w:r>
    </w:p>
    <w:p w:rsidR="00D04EB1" w:rsidRDefault="00D04EB1" w:rsidP="00D04EB1"/>
    <w:p w:rsidR="00D04EB1" w:rsidRDefault="00D04EB1" w:rsidP="00D04EB1"/>
    <w:p w:rsidR="00D04EB1" w:rsidRDefault="00D04EB1" w:rsidP="00D04EB1">
      <w:pPr>
        <w:pStyle w:val="ListParagraph"/>
        <w:numPr>
          <w:ilvl w:val="1"/>
          <w:numId w:val="3"/>
        </w:numPr>
      </w:pPr>
      <w:r>
        <w:t xml:space="preserve">An idealized enlargement of the region neat the </w:t>
      </w:r>
      <w:proofErr w:type="spellStart"/>
      <w:r>
        <w:t>cinnamaldehyde</w:t>
      </w:r>
      <w:proofErr w:type="spellEnd"/>
      <w:r>
        <w:t xml:space="preserve"> peak is given below.  Determine the retention time and peak width for </w:t>
      </w:r>
      <w:proofErr w:type="spellStart"/>
      <w:r>
        <w:t>cinnamaldehyde</w:t>
      </w:r>
      <w:proofErr w:type="spellEnd"/>
      <w:r>
        <w:t xml:space="preserve">. </w:t>
      </w:r>
    </w:p>
    <w:p w:rsidR="00D04EB1" w:rsidRDefault="00D04EB1" w:rsidP="00D04EB1"/>
    <w:p w:rsidR="00D04EB1" w:rsidRDefault="00D04EB1" w:rsidP="00D04EB1"/>
    <w:p w:rsidR="00D04EB1" w:rsidRDefault="00D04EB1" w:rsidP="00D04EB1"/>
    <w:p w:rsidR="00D04EB1" w:rsidRDefault="00D04EB1" w:rsidP="00D04EB1"/>
    <w:p w:rsidR="00D04EB1" w:rsidRDefault="00D04EB1" w:rsidP="00D04EB1"/>
    <w:p w:rsidR="00D04EB1" w:rsidRDefault="00D04EB1" w:rsidP="00D04EB1">
      <w:pPr>
        <w:pStyle w:val="ListParagraph"/>
        <w:numPr>
          <w:ilvl w:val="1"/>
          <w:numId w:val="3"/>
        </w:numPr>
      </w:pPr>
      <w:r>
        <w:t xml:space="preserve">Quantitative data were obtained using methyl benzoate as the internal standard.  The following results were found for calibration curves of </w:t>
      </w:r>
      <w:proofErr w:type="spellStart"/>
      <w:r>
        <w:t>cinnamaldehyde</w:t>
      </w:r>
      <w:proofErr w:type="spellEnd"/>
      <w:r>
        <w:t xml:space="preserve">, </w:t>
      </w:r>
      <w:proofErr w:type="spellStart"/>
      <w:r>
        <w:t>eugenol</w:t>
      </w:r>
      <w:proofErr w:type="spellEnd"/>
      <w:r>
        <w:t xml:space="preserve"> and </w:t>
      </w:r>
      <w:proofErr w:type="spellStart"/>
      <w:r>
        <w:t>thymol</w:t>
      </w:r>
      <w:proofErr w:type="spellEnd"/>
      <w:r>
        <w:t xml:space="preserve">.  The values under each component represent the peak are of the component divided by the peak area of the internal standard.  Determine the calibration curve equations for each component.  Include the </w:t>
      </w:r>
      <w:r w:rsidRPr="00DB66C9">
        <w:rPr>
          <w:i/>
        </w:rPr>
        <w:t>R</w:t>
      </w:r>
      <w:r w:rsidRPr="00DB66C9">
        <w:rPr>
          <w:vertAlign w:val="superscript"/>
        </w:rPr>
        <w:t>2</w:t>
      </w:r>
      <w:r>
        <w:t xml:space="preserve"> values. </w:t>
      </w:r>
    </w:p>
    <w:p w:rsidR="001C0A68" w:rsidRDefault="001C0A68" w:rsidP="00D04EB1"/>
    <w:p w:rsidR="001C0A68" w:rsidRDefault="001C0A68" w:rsidP="00D04EB1"/>
    <w:p w:rsidR="001C0A68" w:rsidRDefault="001C0A68" w:rsidP="00D04EB1"/>
    <w:p w:rsidR="001C0A68" w:rsidRDefault="001C0A68" w:rsidP="00D04EB1"/>
    <w:p w:rsidR="001C0A68" w:rsidRDefault="001C0A68" w:rsidP="00D04EB1"/>
    <w:p w:rsidR="001C0A68" w:rsidRDefault="001C0A68" w:rsidP="00D04EB1"/>
    <w:p w:rsidR="001C0A68" w:rsidRDefault="001C0A68" w:rsidP="00D04EB1"/>
    <w:p w:rsidR="001C0A68" w:rsidRDefault="001C0A68" w:rsidP="00D04EB1"/>
    <w:p w:rsidR="001C0A68" w:rsidRDefault="001C0A68" w:rsidP="00D04EB1"/>
    <w:p w:rsidR="00D04EB1" w:rsidRDefault="00D04EB1" w:rsidP="00D04EB1">
      <w:r>
        <w:t xml:space="preserve"> </w:t>
      </w:r>
    </w:p>
    <w:tbl>
      <w:tblPr>
        <w:tblStyle w:val="PlainTable3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6"/>
        <w:gridCol w:w="2496"/>
        <w:gridCol w:w="1350"/>
        <w:gridCol w:w="1243"/>
      </w:tblGrid>
      <w:tr w:rsidR="00D04EB1" w:rsidRPr="00DB66C9" w:rsidTr="00C32DD7">
        <w:trPr>
          <w:cnfStyle w:val="100000000000" w:firstRow="1" w:lastRow="0" w:firstColumn="0" w:lastColumn="0" w:oddVBand="0" w:evenVBand="0" w:oddHBand="0" w:evenHBand="0" w:firstRowFirstColumn="0" w:firstRowLastColumn="0" w:lastRowFirstColumn="0" w:lastRowLastColumn="0"/>
          <w:trHeight w:val="804"/>
          <w:jc w:val="center"/>
        </w:trPr>
        <w:tc>
          <w:tcPr>
            <w:cnfStyle w:val="001000000100" w:firstRow="0" w:lastRow="0" w:firstColumn="1" w:lastColumn="0" w:oddVBand="0" w:evenVBand="0" w:oddHBand="0" w:evenHBand="0" w:firstRowFirstColumn="1" w:firstRowLastColumn="0" w:lastRowFirstColumn="0" w:lastRowLastColumn="0"/>
            <w:tcW w:w="0" w:type="auto"/>
            <w:vAlign w:val="center"/>
          </w:tcPr>
          <w:p w:rsidR="00D04EB1" w:rsidRPr="00DB66C9" w:rsidRDefault="00D04EB1" w:rsidP="00C32DD7">
            <w:pPr>
              <w:jc w:val="center"/>
              <w:rPr>
                <w:b w:val="0"/>
              </w:rPr>
            </w:pPr>
            <w:r w:rsidRPr="00DB66C9">
              <w:rPr>
                <w:b w:val="0"/>
              </w:rPr>
              <w:t>Concentration,</w:t>
            </w:r>
          </w:p>
          <w:p w:rsidR="00D04EB1" w:rsidRPr="00DB66C9" w:rsidRDefault="00D04EB1" w:rsidP="00C32DD7">
            <w:pPr>
              <w:jc w:val="center"/>
              <w:rPr>
                <w:b w:val="0"/>
              </w:rPr>
            </w:pPr>
            <w:r>
              <w:rPr>
                <w:b w:val="0"/>
                <w:caps w:val="0"/>
              </w:rPr>
              <w:t>mg</w:t>
            </w:r>
            <w:r w:rsidRPr="00DB66C9">
              <w:rPr>
                <w:b w:val="0"/>
              </w:rPr>
              <w:t xml:space="preserve"> sample/200 µL</w:t>
            </w:r>
          </w:p>
        </w:tc>
        <w:tc>
          <w:tcPr>
            <w:tcW w:w="0" w:type="auto"/>
            <w:vAlign w:val="center"/>
          </w:tcPr>
          <w:p w:rsidR="00D04EB1" w:rsidRPr="00DB66C9" w:rsidRDefault="00D04EB1" w:rsidP="00C32DD7">
            <w:pPr>
              <w:jc w:val="center"/>
              <w:cnfStyle w:val="100000000000" w:firstRow="1" w:lastRow="0" w:firstColumn="0" w:lastColumn="0" w:oddVBand="0" w:evenVBand="0" w:oddHBand="0" w:evenHBand="0" w:firstRowFirstColumn="0" w:firstRowLastColumn="0" w:lastRowFirstColumn="0" w:lastRowLastColumn="0"/>
              <w:rPr>
                <w:b w:val="0"/>
              </w:rPr>
            </w:pPr>
            <w:r w:rsidRPr="00DB66C9">
              <w:rPr>
                <w:b w:val="0"/>
              </w:rPr>
              <w:t>Cinnamaldehyde</w:t>
            </w:r>
          </w:p>
        </w:tc>
        <w:tc>
          <w:tcPr>
            <w:tcW w:w="0" w:type="auto"/>
            <w:vAlign w:val="center"/>
          </w:tcPr>
          <w:p w:rsidR="00D04EB1" w:rsidRPr="00DB66C9" w:rsidRDefault="00D04EB1" w:rsidP="00C32DD7">
            <w:pPr>
              <w:jc w:val="center"/>
              <w:cnfStyle w:val="100000000000" w:firstRow="1" w:lastRow="0" w:firstColumn="0" w:lastColumn="0" w:oddVBand="0" w:evenVBand="0" w:oddHBand="0" w:evenHBand="0" w:firstRowFirstColumn="0" w:firstRowLastColumn="0" w:lastRowFirstColumn="0" w:lastRowLastColumn="0"/>
              <w:rPr>
                <w:b w:val="0"/>
              </w:rPr>
            </w:pPr>
            <w:r w:rsidRPr="00DB66C9">
              <w:rPr>
                <w:b w:val="0"/>
              </w:rPr>
              <w:t>Eugenol</w:t>
            </w:r>
          </w:p>
        </w:tc>
        <w:tc>
          <w:tcPr>
            <w:tcW w:w="0" w:type="auto"/>
            <w:vAlign w:val="center"/>
          </w:tcPr>
          <w:p w:rsidR="00D04EB1" w:rsidRPr="00DB66C9" w:rsidRDefault="00D04EB1" w:rsidP="00C32DD7">
            <w:pPr>
              <w:jc w:val="center"/>
              <w:cnfStyle w:val="100000000000" w:firstRow="1" w:lastRow="0" w:firstColumn="0" w:lastColumn="0" w:oddVBand="0" w:evenVBand="0" w:oddHBand="0" w:evenHBand="0" w:firstRowFirstColumn="0" w:firstRowLastColumn="0" w:lastRowFirstColumn="0" w:lastRowLastColumn="0"/>
              <w:rPr>
                <w:b w:val="0"/>
              </w:rPr>
            </w:pPr>
            <w:r w:rsidRPr="00DB66C9">
              <w:rPr>
                <w:b w:val="0"/>
              </w:rPr>
              <w:t>Thymol</w:t>
            </w:r>
          </w:p>
        </w:tc>
      </w:tr>
      <w:tr w:rsidR="00D04EB1" w:rsidRPr="00DB66C9" w:rsidTr="00C32DD7">
        <w:trPr>
          <w:cnfStyle w:val="000000100000" w:firstRow="0" w:lastRow="0" w:firstColumn="0" w:lastColumn="0" w:oddVBand="0" w:evenVBand="0" w:oddHBand="1" w:evenHBand="0" w:firstRowFirstColumn="0" w:firstRowLastColumn="0" w:lastRowFirstColumn="0" w:lastRowLastColumn="0"/>
          <w:trHeight w:val="401"/>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D04EB1" w:rsidRPr="00DB66C9" w:rsidRDefault="00D04EB1" w:rsidP="00C32DD7">
            <w:pPr>
              <w:jc w:val="center"/>
              <w:rPr>
                <w:b w:val="0"/>
              </w:rPr>
            </w:pPr>
            <w:r w:rsidRPr="00DB66C9">
              <w:rPr>
                <w:b w:val="0"/>
              </w:rPr>
              <w:t>0.50</w:t>
            </w:r>
          </w:p>
        </w:tc>
        <w:tc>
          <w:tcPr>
            <w:tcW w:w="0" w:type="auto"/>
            <w:vAlign w:val="center"/>
          </w:tcPr>
          <w:p w:rsidR="00D04EB1" w:rsidRPr="00DB66C9" w:rsidRDefault="00D04EB1" w:rsidP="00C32DD7">
            <w:pPr>
              <w:jc w:val="center"/>
              <w:cnfStyle w:val="000000100000" w:firstRow="0" w:lastRow="0" w:firstColumn="0" w:lastColumn="0" w:oddVBand="0" w:evenVBand="0" w:oddHBand="1" w:evenHBand="0" w:firstRowFirstColumn="0" w:firstRowLastColumn="0" w:lastRowFirstColumn="0" w:lastRowLastColumn="0"/>
            </w:pPr>
            <w:r w:rsidRPr="00DB66C9">
              <w:t>-</w:t>
            </w:r>
          </w:p>
        </w:tc>
        <w:tc>
          <w:tcPr>
            <w:tcW w:w="0" w:type="auto"/>
            <w:vAlign w:val="center"/>
          </w:tcPr>
          <w:p w:rsidR="00D04EB1" w:rsidRPr="00DB66C9" w:rsidRDefault="00D04EB1" w:rsidP="00C32DD7">
            <w:pPr>
              <w:jc w:val="center"/>
              <w:cnfStyle w:val="000000100000" w:firstRow="0" w:lastRow="0" w:firstColumn="0" w:lastColumn="0" w:oddVBand="0" w:evenVBand="0" w:oddHBand="1" w:evenHBand="0" w:firstRowFirstColumn="0" w:firstRowLastColumn="0" w:lastRowFirstColumn="0" w:lastRowLastColumn="0"/>
            </w:pPr>
            <w:r w:rsidRPr="00DB66C9">
              <w:t>0.4</w:t>
            </w:r>
          </w:p>
        </w:tc>
        <w:tc>
          <w:tcPr>
            <w:tcW w:w="0" w:type="auto"/>
            <w:vAlign w:val="center"/>
          </w:tcPr>
          <w:p w:rsidR="00D04EB1" w:rsidRPr="00DB66C9" w:rsidRDefault="00D04EB1" w:rsidP="00C32DD7">
            <w:pPr>
              <w:jc w:val="center"/>
              <w:cnfStyle w:val="000000100000" w:firstRow="0" w:lastRow="0" w:firstColumn="0" w:lastColumn="0" w:oddVBand="0" w:evenVBand="0" w:oddHBand="1" w:evenHBand="0" w:firstRowFirstColumn="0" w:firstRowLastColumn="0" w:lastRowFirstColumn="0" w:lastRowLastColumn="0"/>
            </w:pPr>
            <w:r w:rsidRPr="00DB66C9">
              <w:t>-</w:t>
            </w:r>
          </w:p>
        </w:tc>
      </w:tr>
      <w:tr w:rsidR="00D04EB1" w:rsidRPr="00DB66C9" w:rsidTr="00C32DD7">
        <w:trPr>
          <w:trHeight w:val="401"/>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D04EB1" w:rsidRPr="00DB66C9" w:rsidRDefault="00D04EB1" w:rsidP="00C32DD7">
            <w:pPr>
              <w:jc w:val="center"/>
              <w:rPr>
                <w:b w:val="0"/>
              </w:rPr>
            </w:pPr>
            <w:r w:rsidRPr="00DB66C9">
              <w:rPr>
                <w:b w:val="0"/>
              </w:rPr>
              <w:t>0.65</w:t>
            </w:r>
          </w:p>
        </w:tc>
        <w:tc>
          <w:tcPr>
            <w:tcW w:w="0" w:type="auto"/>
            <w:vAlign w:val="center"/>
          </w:tcPr>
          <w:p w:rsidR="00D04EB1" w:rsidRPr="00DB66C9" w:rsidRDefault="00D04EB1" w:rsidP="00C32DD7">
            <w:pPr>
              <w:jc w:val="center"/>
              <w:cnfStyle w:val="000000000000" w:firstRow="0" w:lastRow="0" w:firstColumn="0" w:lastColumn="0" w:oddVBand="0" w:evenVBand="0" w:oddHBand="0" w:evenHBand="0" w:firstRowFirstColumn="0" w:firstRowLastColumn="0" w:lastRowFirstColumn="0" w:lastRowLastColumn="0"/>
            </w:pPr>
            <w:r w:rsidRPr="00DB66C9">
              <w:t>-</w:t>
            </w:r>
          </w:p>
        </w:tc>
        <w:tc>
          <w:tcPr>
            <w:tcW w:w="0" w:type="auto"/>
            <w:vAlign w:val="center"/>
          </w:tcPr>
          <w:p w:rsidR="00D04EB1" w:rsidRPr="00DB66C9" w:rsidRDefault="00D04EB1" w:rsidP="00C32DD7">
            <w:pPr>
              <w:jc w:val="center"/>
              <w:cnfStyle w:val="000000000000" w:firstRow="0" w:lastRow="0" w:firstColumn="0" w:lastColumn="0" w:oddVBand="0" w:evenVBand="0" w:oddHBand="0" w:evenHBand="0" w:firstRowFirstColumn="0" w:firstRowLastColumn="0" w:lastRowFirstColumn="0" w:lastRowLastColumn="0"/>
            </w:pPr>
            <w:r w:rsidRPr="00DB66C9">
              <w:t>-</w:t>
            </w:r>
          </w:p>
        </w:tc>
        <w:tc>
          <w:tcPr>
            <w:tcW w:w="0" w:type="auto"/>
            <w:vAlign w:val="center"/>
          </w:tcPr>
          <w:p w:rsidR="00D04EB1" w:rsidRPr="00DB66C9" w:rsidRDefault="00D04EB1" w:rsidP="00C32DD7">
            <w:pPr>
              <w:jc w:val="center"/>
              <w:cnfStyle w:val="000000000000" w:firstRow="0" w:lastRow="0" w:firstColumn="0" w:lastColumn="0" w:oddVBand="0" w:evenVBand="0" w:oddHBand="0" w:evenHBand="0" w:firstRowFirstColumn="0" w:firstRowLastColumn="0" w:lastRowFirstColumn="0" w:lastRowLastColumn="0"/>
            </w:pPr>
            <w:r w:rsidRPr="00DB66C9">
              <w:t>1.8</w:t>
            </w:r>
          </w:p>
        </w:tc>
      </w:tr>
      <w:tr w:rsidR="00D04EB1" w:rsidRPr="00DB66C9" w:rsidTr="00C32DD7">
        <w:trPr>
          <w:cnfStyle w:val="000000100000" w:firstRow="0" w:lastRow="0" w:firstColumn="0" w:lastColumn="0" w:oddVBand="0" w:evenVBand="0" w:oddHBand="1" w:evenHBand="0" w:firstRowFirstColumn="0" w:firstRowLastColumn="0" w:lastRowFirstColumn="0" w:lastRowLastColumn="0"/>
          <w:trHeight w:val="383"/>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D04EB1" w:rsidRPr="00DB66C9" w:rsidRDefault="00D04EB1" w:rsidP="00C32DD7">
            <w:pPr>
              <w:jc w:val="center"/>
              <w:rPr>
                <w:b w:val="0"/>
              </w:rPr>
            </w:pPr>
            <w:r w:rsidRPr="00DB66C9">
              <w:rPr>
                <w:b w:val="0"/>
              </w:rPr>
              <w:t>0.75</w:t>
            </w:r>
          </w:p>
        </w:tc>
        <w:tc>
          <w:tcPr>
            <w:tcW w:w="0" w:type="auto"/>
            <w:vAlign w:val="center"/>
          </w:tcPr>
          <w:p w:rsidR="00D04EB1" w:rsidRPr="00DB66C9" w:rsidRDefault="00D04EB1" w:rsidP="00C32DD7">
            <w:pPr>
              <w:jc w:val="center"/>
              <w:cnfStyle w:val="000000100000" w:firstRow="0" w:lastRow="0" w:firstColumn="0" w:lastColumn="0" w:oddVBand="0" w:evenVBand="0" w:oddHBand="1" w:evenHBand="0" w:firstRowFirstColumn="0" w:firstRowLastColumn="0" w:lastRowFirstColumn="0" w:lastRowLastColumn="0"/>
            </w:pPr>
            <w:r w:rsidRPr="00DB66C9">
              <w:t>1.0</w:t>
            </w:r>
          </w:p>
        </w:tc>
        <w:tc>
          <w:tcPr>
            <w:tcW w:w="0" w:type="auto"/>
            <w:vAlign w:val="center"/>
          </w:tcPr>
          <w:p w:rsidR="00D04EB1" w:rsidRPr="00DB66C9" w:rsidRDefault="00D04EB1" w:rsidP="00C32DD7">
            <w:pPr>
              <w:jc w:val="center"/>
              <w:cnfStyle w:val="000000100000" w:firstRow="0" w:lastRow="0" w:firstColumn="0" w:lastColumn="0" w:oddVBand="0" w:evenVBand="0" w:oddHBand="1" w:evenHBand="0" w:firstRowFirstColumn="0" w:firstRowLastColumn="0" w:lastRowFirstColumn="0" w:lastRowLastColumn="0"/>
            </w:pPr>
            <w:r w:rsidRPr="00DB66C9">
              <w:t>0.8</w:t>
            </w:r>
          </w:p>
        </w:tc>
        <w:tc>
          <w:tcPr>
            <w:tcW w:w="0" w:type="auto"/>
            <w:vAlign w:val="center"/>
          </w:tcPr>
          <w:p w:rsidR="00D04EB1" w:rsidRPr="00DB66C9" w:rsidRDefault="00D04EB1" w:rsidP="00C32DD7">
            <w:pPr>
              <w:jc w:val="center"/>
              <w:cnfStyle w:val="000000100000" w:firstRow="0" w:lastRow="0" w:firstColumn="0" w:lastColumn="0" w:oddVBand="0" w:evenVBand="0" w:oddHBand="1" w:evenHBand="0" w:firstRowFirstColumn="0" w:firstRowLastColumn="0" w:lastRowFirstColumn="0" w:lastRowLastColumn="0"/>
            </w:pPr>
            <w:r w:rsidRPr="00DB66C9">
              <w:t>-</w:t>
            </w:r>
          </w:p>
        </w:tc>
      </w:tr>
      <w:tr w:rsidR="00D04EB1" w:rsidRPr="00DB66C9" w:rsidTr="00C32DD7">
        <w:trPr>
          <w:trHeight w:val="401"/>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D04EB1" w:rsidRPr="00DB66C9" w:rsidRDefault="00D04EB1" w:rsidP="00C32DD7">
            <w:pPr>
              <w:jc w:val="center"/>
              <w:rPr>
                <w:b w:val="0"/>
              </w:rPr>
            </w:pPr>
            <w:r w:rsidRPr="00DB66C9">
              <w:rPr>
                <w:b w:val="0"/>
              </w:rPr>
              <w:t>1.10</w:t>
            </w:r>
          </w:p>
        </w:tc>
        <w:tc>
          <w:tcPr>
            <w:tcW w:w="0" w:type="auto"/>
            <w:vAlign w:val="center"/>
          </w:tcPr>
          <w:p w:rsidR="00D04EB1" w:rsidRPr="00DB66C9" w:rsidRDefault="00D04EB1" w:rsidP="00C32DD7">
            <w:pPr>
              <w:jc w:val="center"/>
              <w:cnfStyle w:val="000000000000" w:firstRow="0" w:lastRow="0" w:firstColumn="0" w:lastColumn="0" w:oddVBand="0" w:evenVBand="0" w:oddHBand="0" w:evenHBand="0" w:firstRowFirstColumn="0" w:firstRowLastColumn="0" w:lastRowFirstColumn="0" w:lastRowLastColumn="0"/>
            </w:pPr>
            <w:r w:rsidRPr="00DB66C9">
              <w:t>-</w:t>
            </w:r>
          </w:p>
        </w:tc>
        <w:tc>
          <w:tcPr>
            <w:tcW w:w="0" w:type="auto"/>
            <w:vAlign w:val="center"/>
          </w:tcPr>
          <w:p w:rsidR="00D04EB1" w:rsidRPr="00DB66C9" w:rsidRDefault="00D04EB1" w:rsidP="00C32DD7">
            <w:pPr>
              <w:jc w:val="center"/>
              <w:cnfStyle w:val="000000000000" w:firstRow="0" w:lastRow="0" w:firstColumn="0" w:lastColumn="0" w:oddVBand="0" w:evenVBand="0" w:oddHBand="0" w:evenHBand="0" w:firstRowFirstColumn="0" w:firstRowLastColumn="0" w:lastRowFirstColumn="0" w:lastRowLastColumn="0"/>
            </w:pPr>
            <w:r w:rsidRPr="00DB66C9">
              <w:t>1.2</w:t>
            </w:r>
          </w:p>
        </w:tc>
        <w:tc>
          <w:tcPr>
            <w:tcW w:w="0" w:type="auto"/>
            <w:vAlign w:val="center"/>
          </w:tcPr>
          <w:p w:rsidR="00D04EB1" w:rsidRPr="00DB66C9" w:rsidRDefault="00D04EB1" w:rsidP="00C32DD7">
            <w:pPr>
              <w:jc w:val="center"/>
              <w:cnfStyle w:val="000000000000" w:firstRow="0" w:lastRow="0" w:firstColumn="0" w:lastColumn="0" w:oddVBand="0" w:evenVBand="0" w:oddHBand="0" w:evenHBand="0" w:firstRowFirstColumn="0" w:firstRowLastColumn="0" w:lastRowFirstColumn="0" w:lastRowLastColumn="0"/>
            </w:pPr>
            <w:r w:rsidRPr="00DB66C9">
              <w:t>-</w:t>
            </w:r>
          </w:p>
        </w:tc>
      </w:tr>
      <w:tr w:rsidR="00D04EB1" w:rsidRPr="00DB66C9" w:rsidTr="00C32DD7">
        <w:trPr>
          <w:cnfStyle w:val="000000100000" w:firstRow="0" w:lastRow="0" w:firstColumn="0" w:lastColumn="0" w:oddVBand="0" w:evenVBand="0" w:oddHBand="1" w:evenHBand="0" w:firstRowFirstColumn="0" w:firstRowLastColumn="0" w:lastRowFirstColumn="0" w:lastRowLastColumn="0"/>
          <w:trHeight w:val="401"/>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D04EB1" w:rsidRPr="00DB66C9" w:rsidRDefault="00D04EB1" w:rsidP="00C32DD7">
            <w:pPr>
              <w:jc w:val="center"/>
              <w:rPr>
                <w:b w:val="0"/>
              </w:rPr>
            </w:pPr>
            <w:r w:rsidRPr="00DB66C9">
              <w:rPr>
                <w:b w:val="0"/>
              </w:rPr>
              <w:t>1.25</w:t>
            </w:r>
          </w:p>
        </w:tc>
        <w:tc>
          <w:tcPr>
            <w:tcW w:w="0" w:type="auto"/>
            <w:vAlign w:val="center"/>
          </w:tcPr>
          <w:p w:rsidR="00D04EB1" w:rsidRPr="00DB66C9" w:rsidRDefault="00D04EB1" w:rsidP="00C32DD7">
            <w:pPr>
              <w:jc w:val="center"/>
              <w:cnfStyle w:val="000000100000" w:firstRow="0" w:lastRow="0" w:firstColumn="0" w:lastColumn="0" w:oddVBand="0" w:evenVBand="0" w:oddHBand="1" w:evenHBand="0" w:firstRowFirstColumn="0" w:firstRowLastColumn="0" w:lastRowFirstColumn="0" w:lastRowLastColumn="0"/>
            </w:pPr>
            <w:r w:rsidRPr="00DB66C9">
              <w:t>2.0</w:t>
            </w:r>
          </w:p>
        </w:tc>
        <w:tc>
          <w:tcPr>
            <w:tcW w:w="0" w:type="auto"/>
            <w:vAlign w:val="center"/>
          </w:tcPr>
          <w:p w:rsidR="00D04EB1" w:rsidRPr="00DB66C9" w:rsidRDefault="00D04EB1" w:rsidP="00C32DD7">
            <w:pPr>
              <w:jc w:val="center"/>
              <w:cnfStyle w:val="000000100000" w:firstRow="0" w:lastRow="0" w:firstColumn="0" w:lastColumn="0" w:oddVBand="0" w:evenVBand="0" w:oddHBand="1" w:evenHBand="0" w:firstRowFirstColumn="0" w:firstRowLastColumn="0" w:lastRowFirstColumn="0" w:lastRowLastColumn="0"/>
            </w:pPr>
            <w:r w:rsidRPr="00DB66C9">
              <w:t>-</w:t>
            </w:r>
          </w:p>
        </w:tc>
        <w:tc>
          <w:tcPr>
            <w:tcW w:w="0" w:type="auto"/>
            <w:vAlign w:val="center"/>
          </w:tcPr>
          <w:p w:rsidR="00D04EB1" w:rsidRPr="00DB66C9" w:rsidRDefault="00D04EB1" w:rsidP="00C32DD7">
            <w:pPr>
              <w:jc w:val="center"/>
              <w:cnfStyle w:val="000000100000" w:firstRow="0" w:lastRow="0" w:firstColumn="0" w:lastColumn="0" w:oddVBand="0" w:evenVBand="0" w:oddHBand="1" w:evenHBand="0" w:firstRowFirstColumn="0" w:firstRowLastColumn="0" w:lastRowFirstColumn="0" w:lastRowLastColumn="0"/>
            </w:pPr>
            <w:r w:rsidRPr="00DB66C9">
              <w:t>-</w:t>
            </w:r>
          </w:p>
        </w:tc>
      </w:tr>
      <w:tr w:rsidR="00D04EB1" w:rsidRPr="00DB66C9" w:rsidTr="00C32DD7">
        <w:trPr>
          <w:trHeight w:val="401"/>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D04EB1" w:rsidRPr="00DB66C9" w:rsidRDefault="00D04EB1" w:rsidP="00C32DD7">
            <w:pPr>
              <w:jc w:val="center"/>
              <w:rPr>
                <w:b w:val="0"/>
              </w:rPr>
            </w:pPr>
            <w:r w:rsidRPr="00DB66C9">
              <w:rPr>
                <w:b w:val="0"/>
              </w:rPr>
              <w:t>1.30</w:t>
            </w:r>
          </w:p>
        </w:tc>
        <w:tc>
          <w:tcPr>
            <w:tcW w:w="0" w:type="auto"/>
            <w:vAlign w:val="center"/>
          </w:tcPr>
          <w:p w:rsidR="00D04EB1" w:rsidRPr="00DB66C9" w:rsidRDefault="00D04EB1" w:rsidP="00C32DD7">
            <w:pPr>
              <w:jc w:val="center"/>
              <w:cnfStyle w:val="000000000000" w:firstRow="0" w:lastRow="0" w:firstColumn="0" w:lastColumn="0" w:oddVBand="0" w:evenVBand="0" w:oddHBand="0" w:evenHBand="0" w:firstRowFirstColumn="0" w:firstRowLastColumn="0" w:lastRowFirstColumn="0" w:lastRowLastColumn="0"/>
            </w:pPr>
            <w:r w:rsidRPr="00DB66C9">
              <w:t>-</w:t>
            </w:r>
          </w:p>
        </w:tc>
        <w:tc>
          <w:tcPr>
            <w:tcW w:w="0" w:type="auto"/>
            <w:vAlign w:val="center"/>
          </w:tcPr>
          <w:p w:rsidR="00D04EB1" w:rsidRPr="00DB66C9" w:rsidRDefault="00D04EB1" w:rsidP="00C32DD7">
            <w:pPr>
              <w:jc w:val="center"/>
              <w:cnfStyle w:val="000000000000" w:firstRow="0" w:lastRow="0" w:firstColumn="0" w:lastColumn="0" w:oddVBand="0" w:evenVBand="0" w:oddHBand="0" w:evenHBand="0" w:firstRowFirstColumn="0" w:firstRowLastColumn="0" w:lastRowFirstColumn="0" w:lastRowLastColumn="0"/>
            </w:pPr>
            <w:r w:rsidRPr="00DB66C9">
              <w:t>-</w:t>
            </w:r>
          </w:p>
        </w:tc>
        <w:tc>
          <w:tcPr>
            <w:tcW w:w="0" w:type="auto"/>
            <w:vAlign w:val="center"/>
          </w:tcPr>
          <w:p w:rsidR="00D04EB1" w:rsidRPr="00DB66C9" w:rsidRDefault="00D04EB1" w:rsidP="00C32DD7">
            <w:pPr>
              <w:jc w:val="center"/>
              <w:cnfStyle w:val="000000000000" w:firstRow="0" w:lastRow="0" w:firstColumn="0" w:lastColumn="0" w:oddVBand="0" w:evenVBand="0" w:oddHBand="0" w:evenHBand="0" w:firstRowFirstColumn="0" w:firstRowLastColumn="0" w:lastRowFirstColumn="0" w:lastRowLastColumn="0"/>
            </w:pPr>
            <w:r w:rsidRPr="00DB66C9">
              <w:t>3.0</w:t>
            </w:r>
          </w:p>
        </w:tc>
      </w:tr>
      <w:tr w:rsidR="00D04EB1" w:rsidRPr="00DB66C9" w:rsidTr="00C32DD7">
        <w:trPr>
          <w:cnfStyle w:val="000000100000" w:firstRow="0" w:lastRow="0" w:firstColumn="0" w:lastColumn="0" w:oddVBand="0" w:evenVBand="0" w:oddHBand="1" w:evenHBand="0" w:firstRowFirstColumn="0" w:firstRowLastColumn="0" w:lastRowFirstColumn="0" w:lastRowLastColumn="0"/>
          <w:trHeight w:val="419"/>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D04EB1" w:rsidRPr="00DB66C9" w:rsidRDefault="00D04EB1" w:rsidP="00C32DD7">
            <w:pPr>
              <w:jc w:val="center"/>
              <w:rPr>
                <w:b w:val="0"/>
              </w:rPr>
            </w:pPr>
            <w:r w:rsidRPr="00DB66C9">
              <w:rPr>
                <w:b w:val="0"/>
              </w:rPr>
              <w:t>1.50</w:t>
            </w:r>
          </w:p>
        </w:tc>
        <w:tc>
          <w:tcPr>
            <w:tcW w:w="0" w:type="auto"/>
            <w:vAlign w:val="center"/>
          </w:tcPr>
          <w:p w:rsidR="00D04EB1" w:rsidRPr="00DB66C9" w:rsidRDefault="00D04EB1" w:rsidP="00C32DD7">
            <w:pPr>
              <w:jc w:val="center"/>
              <w:cnfStyle w:val="000000100000" w:firstRow="0" w:lastRow="0" w:firstColumn="0" w:lastColumn="0" w:oddVBand="0" w:evenVBand="0" w:oddHBand="1" w:evenHBand="0" w:firstRowFirstColumn="0" w:firstRowLastColumn="0" w:lastRowFirstColumn="0" w:lastRowLastColumn="0"/>
            </w:pPr>
            <w:r w:rsidRPr="00DB66C9">
              <w:t>-</w:t>
            </w:r>
          </w:p>
        </w:tc>
        <w:tc>
          <w:tcPr>
            <w:tcW w:w="0" w:type="auto"/>
            <w:vAlign w:val="center"/>
          </w:tcPr>
          <w:p w:rsidR="00D04EB1" w:rsidRPr="00DB66C9" w:rsidRDefault="00D04EB1" w:rsidP="00C32DD7">
            <w:pPr>
              <w:jc w:val="center"/>
              <w:cnfStyle w:val="000000100000" w:firstRow="0" w:lastRow="0" w:firstColumn="0" w:lastColumn="0" w:oddVBand="0" w:evenVBand="0" w:oddHBand="1" w:evenHBand="0" w:firstRowFirstColumn="0" w:firstRowLastColumn="0" w:lastRowFirstColumn="0" w:lastRowLastColumn="0"/>
            </w:pPr>
            <w:r w:rsidRPr="00DB66C9">
              <w:t>1.5</w:t>
            </w:r>
          </w:p>
        </w:tc>
        <w:tc>
          <w:tcPr>
            <w:tcW w:w="0" w:type="auto"/>
            <w:vAlign w:val="center"/>
          </w:tcPr>
          <w:p w:rsidR="00D04EB1" w:rsidRPr="00DB66C9" w:rsidRDefault="00D04EB1" w:rsidP="00C32DD7">
            <w:pPr>
              <w:jc w:val="center"/>
              <w:cnfStyle w:val="000000100000" w:firstRow="0" w:lastRow="0" w:firstColumn="0" w:lastColumn="0" w:oddVBand="0" w:evenVBand="0" w:oddHBand="1" w:evenHBand="0" w:firstRowFirstColumn="0" w:firstRowLastColumn="0" w:lastRowFirstColumn="0" w:lastRowLastColumn="0"/>
            </w:pPr>
            <w:r w:rsidRPr="00DB66C9">
              <w:t>-</w:t>
            </w:r>
          </w:p>
        </w:tc>
      </w:tr>
      <w:tr w:rsidR="00D04EB1" w:rsidRPr="00DB66C9" w:rsidTr="00C32DD7">
        <w:trPr>
          <w:trHeight w:val="401"/>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vAlign w:val="center"/>
          </w:tcPr>
          <w:p w:rsidR="00D04EB1" w:rsidRPr="00DB66C9" w:rsidRDefault="00D04EB1" w:rsidP="00C32DD7">
            <w:pPr>
              <w:jc w:val="center"/>
              <w:rPr>
                <w:b w:val="0"/>
              </w:rPr>
            </w:pPr>
            <w:r w:rsidRPr="00DB66C9">
              <w:rPr>
                <w:b w:val="0"/>
              </w:rPr>
              <w:t>1.90</w:t>
            </w:r>
          </w:p>
        </w:tc>
        <w:tc>
          <w:tcPr>
            <w:tcW w:w="0" w:type="auto"/>
            <w:vAlign w:val="center"/>
          </w:tcPr>
          <w:p w:rsidR="00D04EB1" w:rsidRPr="00DB66C9" w:rsidRDefault="00D04EB1" w:rsidP="00C32DD7">
            <w:pPr>
              <w:jc w:val="center"/>
              <w:cnfStyle w:val="000000000000" w:firstRow="0" w:lastRow="0" w:firstColumn="0" w:lastColumn="0" w:oddVBand="0" w:evenVBand="0" w:oddHBand="0" w:evenHBand="0" w:firstRowFirstColumn="0" w:firstRowLastColumn="0" w:lastRowFirstColumn="0" w:lastRowLastColumn="0"/>
            </w:pPr>
            <w:r w:rsidRPr="00DB66C9">
              <w:t>3.1</w:t>
            </w:r>
          </w:p>
        </w:tc>
        <w:tc>
          <w:tcPr>
            <w:tcW w:w="0" w:type="auto"/>
            <w:vAlign w:val="center"/>
          </w:tcPr>
          <w:p w:rsidR="00D04EB1" w:rsidRPr="00DB66C9" w:rsidRDefault="00D04EB1" w:rsidP="00C32DD7">
            <w:pPr>
              <w:jc w:val="center"/>
              <w:cnfStyle w:val="000000000000" w:firstRow="0" w:lastRow="0" w:firstColumn="0" w:lastColumn="0" w:oddVBand="0" w:evenVBand="0" w:oddHBand="0" w:evenHBand="0" w:firstRowFirstColumn="0" w:firstRowLastColumn="0" w:lastRowFirstColumn="0" w:lastRowLastColumn="0"/>
            </w:pPr>
            <w:r w:rsidRPr="00DB66C9">
              <w:t>2.0</w:t>
            </w:r>
          </w:p>
        </w:tc>
        <w:tc>
          <w:tcPr>
            <w:tcW w:w="0" w:type="auto"/>
            <w:vAlign w:val="center"/>
          </w:tcPr>
          <w:p w:rsidR="00D04EB1" w:rsidRPr="00DB66C9" w:rsidRDefault="00D04EB1" w:rsidP="00C32DD7">
            <w:pPr>
              <w:jc w:val="center"/>
              <w:cnfStyle w:val="000000000000" w:firstRow="0" w:lastRow="0" w:firstColumn="0" w:lastColumn="0" w:oddVBand="0" w:evenVBand="0" w:oddHBand="0" w:evenHBand="0" w:firstRowFirstColumn="0" w:firstRowLastColumn="0" w:lastRowFirstColumn="0" w:lastRowLastColumn="0"/>
            </w:pPr>
            <w:r w:rsidRPr="00DB66C9">
              <w:t>4.6</w:t>
            </w:r>
          </w:p>
        </w:tc>
      </w:tr>
      <w:tr w:rsidR="00D04EB1" w:rsidRPr="00DB66C9" w:rsidTr="00C32DD7">
        <w:trPr>
          <w:cnfStyle w:val="000000100000" w:firstRow="0" w:lastRow="0" w:firstColumn="0" w:lastColumn="0" w:oddVBand="0" w:evenVBand="0" w:oddHBand="1" w:evenHBand="0" w:firstRowFirstColumn="0" w:firstRowLastColumn="0" w:lastRowFirstColumn="0" w:lastRowLastColumn="0"/>
          <w:trHeight w:val="383"/>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D04EB1" w:rsidRPr="00DB66C9" w:rsidRDefault="00D04EB1" w:rsidP="00C32DD7">
            <w:pPr>
              <w:jc w:val="center"/>
              <w:rPr>
                <w:b w:val="0"/>
              </w:rPr>
            </w:pPr>
            <w:r w:rsidRPr="00DB66C9">
              <w:rPr>
                <w:b w:val="0"/>
              </w:rPr>
              <w:t>2.50</w:t>
            </w:r>
          </w:p>
        </w:tc>
        <w:tc>
          <w:tcPr>
            <w:tcW w:w="0" w:type="auto"/>
            <w:vAlign w:val="center"/>
          </w:tcPr>
          <w:p w:rsidR="00D04EB1" w:rsidRPr="00DB66C9" w:rsidRDefault="00D04EB1" w:rsidP="00C32DD7">
            <w:pPr>
              <w:jc w:val="center"/>
              <w:cnfStyle w:val="000000100000" w:firstRow="0" w:lastRow="0" w:firstColumn="0" w:lastColumn="0" w:oddVBand="0" w:evenVBand="0" w:oddHBand="1" w:evenHBand="0" w:firstRowFirstColumn="0" w:firstRowLastColumn="0" w:lastRowFirstColumn="0" w:lastRowLastColumn="0"/>
            </w:pPr>
            <w:r w:rsidRPr="00DB66C9">
              <w:t>4.0</w:t>
            </w:r>
          </w:p>
        </w:tc>
        <w:tc>
          <w:tcPr>
            <w:tcW w:w="0" w:type="auto"/>
            <w:vAlign w:val="center"/>
          </w:tcPr>
          <w:p w:rsidR="00D04EB1" w:rsidRPr="00DB66C9" w:rsidRDefault="00D04EB1" w:rsidP="00C32DD7">
            <w:pPr>
              <w:jc w:val="center"/>
              <w:cnfStyle w:val="000000100000" w:firstRow="0" w:lastRow="0" w:firstColumn="0" w:lastColumn="0" w:oddVBand="0" w:evenVBand="0" w:oddHBand="1" w:evenHBand="0" w:firstRowFirstColumn="0" w:firstRowLastColumn="0" w:lastRowFirstColumn="0" w:lastRowLastColumn="0"/>
            </w:pPr>
            <w:r w:rsidRPr="00DB66C9">
              <w:t>-</w:t>
            </w:r>
          </w:p>
        </w:tc>
        <w:tc>
          <w:tcPr>
            <w:tcW w:w="0" w:type="auto"/>
            <w:vAlign w:val="center"/>
          </w:tcPr>
          <w:p w:rsidR="00D04EB1" w:rsidRPr="00DB66C9" w:rsidRDefault="00D04EB1" w:rsidP="00C32DD7">
            <w:pPr>
              <w:jc w:val="center"/>
              <w:cnfStyle w:val="000000100000" w:firstRow="0" w:lastRow="0" w:firstColumn="0" w:lastColumn="0" w:oddVBand="0" w:evenVBand="0" w:oddHBand="1" w:evenHBand="0" w:firstRowFirstColumn="0" w:firstRowLastColumn="0" w:lastRowFirstColumn="0" w:lastRowLastColumn="0"/>
            </w:pPr>
            <w:r w:rsidRPr="00DB66C9">
              <w:t>5.8</w:t>
            </w:r>
          </w:p>
        </w:tc>
      </w:tr>
    </w:tbl>
    <w:p w:rsidR="00D04EB1" w:rsidRDefault="00D04EB1" w:rsidP="00D04EB1"/>
    <w:p w:rsidR="00D04EB1" w:rsidRDefault="00D04EB1" w:rsidP="00D04EB1"/>
    <w:p w:rsidR="00D04EB1" w:rsidRDefault="00D04EB1" w:rsidP="00D04EB1">
      <w:pPr>
        <w:pStyle w:val="ListParagraph"/>
        <w:numPr>
          <w:ilvl w:val="1"/>
          <w:numId w:val="3"/>
        </w:numPr>
      </w:pPr>
      <w:r>
        <w:t>For the data in in part (b), determine which of the components has the highest calibration curve sensitivity?  Which has the lowest?</w:t>
      </w:r>
    </w:p>
    <w:p w:rsidR="00D04EB1" w:rsidRPr="005162E1" w:rsidRDefault="00D04EB1" w:rsidP="00D04EB1">
      <w:pPr>
        <w:pStyle w:val="ListParagraph"/>
        <w:numPr>
          <w:ilvl w:val="1"/>
          <w:numId w:val="3"/>
        </w:numPr>
      </w:pPr>
      <w:r>
        <w:t xml:space="preserve">A sample containing the three essential oils in part (b) gave peak areas relative to the internal standard area:  </w:t>
      </w:r>
      <w:proofErr w:type="spellStart"/>
      <w:r>
        <w:t>cinnamaldehyde</w:t>
      </w:r>
      <w:proofErr w:type="spellEnd"/>
      <w:r>
        <w:t xml:space="preserve">, 2.6; </w:t>
      </w:r>
      <w:proofErr w:type="spellStart"/>
      <w:r>
        <w:t>eugenol</w:t>
      </w:r>
      <w:proofErr w:type="spellEnd"/>
      <w:r>
        <w:t>, 0.9; thymol, 3.8.  Determine the concentrations of each of the oils in the sample.</w:t>
      </w:r>
    </w:p>
    <w:p w:rsidR="00D04EB1" w:rsidRDefault="00D04EB1" w:rsidP="00D04EB1">
      <w:pPr>
        <w:spacing w:after="120"/>
      </w:pPr>
    </w:p>
    <w:p w:rsidR="00FB0F02" w:rsidRDefault="00FB0F02">
      <w:bookmarkStart w:id="0" w:name="_GoBack"/>
      <w:bookmarkEnd w:id="0"/>
    </w:p>
    <w:sectPr w:rsidR="00FB0F0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054C" w:rsidRDefault="00B1054C" w:rsidP="006E27F3">
      <w:r>
        <w:separator/>
      </w:r>
    </w:p>
  </w:endnote>
  <w:endnote w:type="continuationSeparator" w:id="0">
    <w:p w:rsidR="00B1054C" w:rsidRDefault="00B1054C" w:rsidP="006E2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054C" w:rsidRDefault="00B1054C" w:rsidP="006E27F3">
      <w:r>
        <w:separator/>
      </w:r>
    </w:p>
  </w:footnote>
  <w:footnote w:type="continuationSeparator" w:id="0">
    <w:p w:rsidR="00B1054C" w:rsidRDefault="00B1054C" w:rsidP="006E27F3">
      <w:r>
        <w:continuationSeparator/>
      </w:r>
    </w:p>
  </w:footnote>
  <w:footnote w:id="1">
    <w:p w:rsidR="006E27F3" w:rsidRDefault="006E27F3">
      <w:pPr>
        <w:pStyle w:val="FootnoteText"/>
      </w:pPr>
      <w:r>
        <w:rPr>
          <w:rStyle w:val="FootnoteReference"/>
        </w:rPr>
        <w:footnoteRef/>
      </w:r>
      <w:r>
        <w:t xml:space="preserve"> Adapted from Skoog, D.A.; West, D. M.; Holler, F. J.; and Crouch, S. R.  </w:t>
      </w:r>
      <w:r w:rsidRPr="00FC44A8">
        <w:rPr>
          <w:i/>
        </w:rPr>
        <w:t>Fundamentals of Analytical Chemistry</w:t>
      </w:r>
      <w:r>
        <w:t>, 9</w:t>
      </w:r>
      <w:r w:rsidRPr="0095571E">
        <w:rPr>
          <w:vertAlign w:val="superscript"/>
        </w:rPr>
        <w:t>th</w:t>
      </w:r>
      <w:r>
        <w:t xml:space="preserve"> ed.; Brooks/Cole, Cengage Learning:  Belmont, CA, 2014, p 910-911.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D1F35"/>
    <w:multiLevelType w:val="hybridMultilevel"/>
    <w:tmpl w:val="36ACD0F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F773324"/>
    <w:multiLevelType w:val="hybridMultilevel"/>
    <w:tmpl w:val="869ED772"/>
    <w:lvl w:ilvl="0" w:tplc="0E808FD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0B1350C"/>
    <w:multiLevelType w:val="hybridMultilevel"/>
    <w:tmpl w:val="198C5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3DC086F"/>
    <w:multiLevelType w:val="hybridMultilevel"/>
    <w:tmpl w:val="66986B38"/>
    <w:lvl w:ilvl="0" w:tplc="38C07D08">
      <w:start w:val="1"/>
      <w:numFmt w:val="decimal"/>
      <w:lvlText w:val="%1."/>
      <w:lvlJc w:val="left"/>
      <w:pPr>
        <w:ind w:left="360" w:hanging="360"/>
      </w:pPr>
      <w:rPr>
        <w:rFonts w:hint="default"/>
      </w:rPr>
    </w:lvl>
    <w:lvl w:ilvl="1" w:tplc="CA4675F0">
      <w:start w:val="1"/>
      <w:numFmt w:val="lowerLetter"/>
      <w:lvlText w:val="%2."/>
      <w:lvlJc w:val="left"/>
      <w:pPr>
        <w:ind w:left="72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EB1"/>
    <w:rsid w:val="001C0A68"/>
    <w:rsid w:val="006E27F3"/>
    <w:rsid w:val="008308A1"/>
    <w:rsid w:val="00AA7867"/>
    <w:rsid w:val="00B1054C"/>
    <w:rsid w:val="00D04EB1"/>
    <w:rsid w:val="00E832FA"/>
    <w:rsid w:val="00FB0F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EB1"/>
    <w:pPr>
      <w:spacing w:after="0" w:line="240" w:lineRule="auto"/>
    </w:pPr>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4EB1"/>
    <w:pPr>
      <w:ind w:left="720"/>
      <w:contextualSpacing/>
    </w:pPr>
  </w:style>
  <w:style w:type="table" w:styleId="TableGrid">
    <w:name w:val="Table Grid"/>
    <w:basedOn w:val="TableNormal"/>
    <w:uiPriority w:val="39"/>
    <w:rsid w:val="00D04EB1"/>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31">
    <w:name w:val="Plain Table 31"/>
    <w:basedOn w:val="TableNormal"/>
    <w:uiPriority w:val="43"/>
    <w:rsid w:val="00D04EB1"/>
    <w:pPr>
      <w:spacing w:after="0" w:line="240" w:lineRule="auto"/>
    </w:pPr>
    <w:rPr>
      <w:rFonts w:ascii="Times New Roman" w:hAnsi="Times New Roman" w:cs="Times New Roman"/>
      <w:sz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FootnoteText">
    <w:name w:val="footnote text"/>
    <w:basedOn w:val="Normal"/>
    <w:link w:val="FootnoteTextChar"/>
    <w:uiPriority w:val="99"/>
    <w:semiHidden/>
    <w:unhideWhenUsed/>
    <w:rsid w:val="006E27F3"/>
    <w:rPr>
      <w:sz w:val="20"/>
      <w:szCs w:val="20"/>
    </w:rPr>
  </w:style>
  <w:style w:type="character" w:customStyle="1" w:styleId="FootnoteTextChar">
    <w:name w:val="Footnote Text Char"/>
    <w:basedOn w:val="DefaultParagraphFont"/>
    <w:link w:val="FootnoteText"/>
    <w:uiPriority w:val="99"/>
    <w:semiHidden/>
    <w:rsid w:val="006E27F3"/>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6E27F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EB1"/>
    <w:pPr>
      <w:spacing w:after="0" w:line="240" w:lineRule="auto"/>
    </w:pPr>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4EB1"/>
    <w:pPr>
      <w:ind w:left="720"/>
      <w:contextualSpacing/>
    </w:pPr>
  </w:style>
  <w:style w:type="table" w:styleId="TableGrid">
    <w:name w:val="Table Grid"/>
    <w:basedOn w:val="TableNormal"/>
    <w:uiPriority w:val="39"/>
    <w:rsid w:val="00D04EB1"/>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31">
    <w:name w:val="Plain Table 31"/>
    <w:basedOn w:val="TableNormal"/>
    <w:uiPriority w:val="43"/>
    <w:rsid w:val="00D04EB1"/>
    <w:pPr>
      <w:spacing w:after="0" w:line="240" w:lineRule="auto"/>
    </w:pPr>
    <w:rPr>
      <w:rFonts w:ascii="Times New Roman" w:hAnsi="Times New Roman" w:cs="Times New Roman"/>
      <w:sz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FootnoteText">
    <w:name w:val="footnote text"/>
    <w:basedOn w:val="Normal"/>
    <w:link w:val="FootnoteTextChar"/>
    <w:uiPriority w:val="99"/>
    <w:semiHidden/>
    <w:unhideWhenUsed/>
    <w:rsid w:val="006E27F3"/>
    <w:rPr>
      <w:sz w:val="20"/>
      <w:szCs w:val="20"/>
    </w:rPr>
  </w:style>
  <w:style w:type="character" w:customStyle="1" w:styleId="FootnoteTextChar">
    <w:name w:val="Footnote Text Char"/>
    <w:basedOn w:val="DefaultParagraphFont"/>
    <w:link w:val="FootnoteText"/>
    <w:uiPriority w:val="99"/>
    <w:semiHidden/>
    <w:rsid w:val="006E27F3"/>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6E27F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FB40DEBE-2F41-4E95-ADE6-390879E7D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288</Words>
  <Characters>1643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1928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Image</dc:creator>
  <cp:lastModifiedBy>Image</cp:lastModifiedBy>
  <cp:revision>2</cp:revision>
  <dcterms:created xsi:type="dcterms:W3CDTF">2018-08-27T23:07:00Z</dcterms:created>
  <dcterms:modified xsi:type="dcterms:W3CDTF">2018-08-27T23:07:00Z</dcterms:modified>
</cp:coreProperties>
</file>