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6CA" w:rsidRPr="001366E3" w:rsidRDefault="001536CA" w:rsidP="001536CA">
      <w:pPr>
        <w:rPr>
          <w:b/>
        </w:rPr>
      </w:pPr>
      <w:r>
        <w:rPr>
          <w:b/>
        </w:rPr>
        <w:t>External Calibration and Propagation of Error</w:t>
      </w:r>
    </w:p>
    <w:p w:rsidR="001536CA" w:rsidRDefault="001536CA" w:rsidP="001536CA"/>
    <w:p w:rsidR="001536CA" w:rsidRDefault="001536CA" w:rsidP="001536CA">
      <w:r>
        <w:t>Learning Objectives – After completing this exercise, students will be able to:</w:t>
      </w:r>
    </w:p>
    <w:p w:rsidR="001536CA" w:rsidRDefault="001536CA" w:rsidP="001536CA">
      <w:pPr>
        <w:pStyle w:val="ListParagraph"/>
        <w:numPr>
          <w:ilvl w:val="0"/>
          <w:numId w:val="1"/>
        </w:numPr>
      </w:pPr>
      <w:r>
        <w:t>Identify a single-point external calibration</w:t>
      </w:r>
    </w:p>
    <w:p w:rsidR="001536CA" w:rsidRDefault="001536CA" w:rsidP="001536CA">
      <w:pPr>
        <w:pStyle w:val="ListParagraph"/>
        <w:numPr>
          <w:ilvl w:val="0"/>
          <w:numId w:val="1"/>
        </w:numPr>
      </w:pPr>
      <w:r>
        <w:t>Determine the amount of unknown in a sample for a single-point external calibration</w:t>
      </w:r>
    </w:p>
    <w:p w:rsidR="001536CA" w:rsidRDefault="001536CA" w:rsidP="001536CA">
      <w:pPr>
        <w:pStyle w:val="ListParagraph"/>
        <w:numPr>
          <w:ilvl w:val="0"/>
          <w:numId w:val="1"/>
        </w:numPr>
      </w:pPr>
      <w:r>
        <w:t>Use propagation of error to determine the relative error in a measurement.</w:t>
      </w:r>
    </w:p>
    <w:p w:rsidR="001536CA" w:rsidRDefault="001536CA" w:rsidP="001536CA"/>
    <w:p w:rsidR="001536CA" w:rsidRDefault="001536CA" w:rsidP="001536CA">
      <w:pPr>
        <w:pStyle w:val="ListParagraph"/>
        <w:numPr>
          <w:ilvl w:val="0"/>
          <w:numId w:val="2"/>
        </w:numPr>
      </w:pPr>
      <w:r w:rsidRPr="00B00172">
        <w:t xml:space="preserve">A 12.3 </w:t>
      </w:r>
      <w:proofErr w:type="spellStart"/>
      <w:r>
        <w:t>mM</w:t>
      </w:r>
      <w:proofErr w:type="spellEnd"/>
      <w:r w:rsidRPr="00B00172">
        <w:t xml:space="preserve"> solution of </w:t>
      </w:r>
      <w:proofErr w:type="spellStart"/>
      <w:r w:rsidRPr="00EE5B02">
        <w:t>analyte</w:t>
      </w:r>
      <w:proofErr w:type="spellEnd"/>
      <w:r w:rsidRPr="00B00172">
        <w:t xml:space="preserve"> </w:t>
      </w:r>
      <w:r>
        <w:t>yields</w:t>
      </w:r>
      <w:r w:rsidRPr="00B00172">
        <w:t xml:space="preserve"> </w:t>
      </w:r>
      <w:r>
        <w:t xml:space="preserve">a signal of </w:t>
      </w:r>
      <w:r w:rsidRPr="00B00172">
        <w:t xml:space="preserve">489.  A solution containing an unknown concentration of </w:t>
      </w:r>
      <w:r w:rsidRPr="00EE5B02">
        <w:t>analyte</w:t>
      </w:r>
      <w:r w:rsidRPr="00B00172">
        <w:t xml:space="preserve"> </w:t>
      </w:r>
      <w:r>
        <w:t xml:space="preserve">yields a signal of </w:t>
      </w:r>
      <w:r w:rsidRPr="00B00172">
        <w:t xml:space="preserve">318.  Determine the concentration of </w:t>
      </w:r>
      <w:r w:rsidRPr="00EE5B02">
        <w:t>analyte</w:t>
      </w:r>
      <w:r w:rsidRPr="00B00172">
        <w:t xml:space="preserve"> in the unknown.</w:t>
      </w:r>
      <w:r>
        <w:t xml:space="preserve"> (answer = 8.00 </w:t>
      </w:r>
      <w:proofErr w:type="spellStart"/>
      <w:r>
        <w:t>mM</w:t>
      </w:r>
      <w:proofErr w:type="spellEnd"/>
      <w:r>
        <w:t>)</w:t>
      </w:r>
    </w:p>
    <w:p w:rsidR="001536CA" w:rsidRDefault="001536CA" w:rsidP="001536CA"/>
    <w:p w:rsidR="001536CA" w:rsidRDefault="001536CA" w:rsidP="001536CA">
      <w:pPr>
        <w:pStyle w:val="ListParagraph"/>
        <w:numPr>
          <w:ilvl w:val="0"/>
          <w:numId w:val="2"/>
        </w:numPr>
      </w:pPr>
      <w:r>
        <w:t xml:space="preserve">A standard solution was prepared by dissolving 25.7 ± 0.1 mg of </w:t>
      </w:r>
      <w:r w:rsidRPr="00F46F20">
        <w:t>dye</w:t>
      </w:r>
      <w:r>
        <w:t xml:space="preserve"> to a volume of 100.00 ± 0.08 mL in a volumetric flask.  Calculate the concentration of the standard solution in ppm (mg/L). (answer = 257 ± 2 ppm)</w:t>
      </w:r>
    </w:p>
    <w:p w:rsidR="001536CA" w:rsidRDefault="001536CA" w:rsidP="001536CA"/>
    <w:p w:rsidR="001536CA" w:rsidRDefault="001536CA" w:rsidP="001536CA">
      <w:pPr>
        <w:pStyle w:val="ListParagraph"/>
        <w:numPr>
          <w:ilvl w:val="0"/>
          <w:numId w:val="2"/>
        </w:numPr>
      </w:pPr>
      <w:r>
        <w:t xml:space="preserve">The absorbance of the dye standard solution in part (2) was measured 7 times in a 1.00 ± 0.01 cm cuvette, yielding an average absorbance of 0.749 ± 0.002.  Determine the absorptivity of the </w:t>
      </w:r>
      <w:r w:rsidRPr="00F46F20">
        <w:t>dye</w:t>
      </w:r>
      <w:r>
        <w:t xml:space="preserve"> in ppm</w:t>
      </w:r>
      <w:r w:rsidRPr="00EE5B02">
        <w:rPr>
          <w:vertAlign w:val="superscript"/>
        </w:rPr>
        <w:t>-1</w:t>
      </w:r>
      <w:r>
        <w:t xml:space="preserve"> cm</w:t>
      </w:r>
      <w:r w:rsidRPr="00EE5B02">
        <w:rPr>
          <w:vertAlign w:val="superscript"/>
        </w:rPr>
        <w:t>-1</w:t>
      </w:r>
      <w:r>
        <w:t>.  (</w:t>
      </w:r>
      <w:r w:rsidRPr="00EE5B02">
        <w:rPr>
          <w:i/>
        </w:rPr>
        <w:t xml:space="preserve">A = </w:t>
      </w:r>
      <w:proofErr w:type="spellStart"/>
      <w:r w:rsidRPr="00EE5B02">
        <w:rPr>
          <w:i/>
        </w:rPr>
        <w:t>abc</w:t>
      </w:r>
      <w:proofErr w:type="spellEnd"/>
      <w:r>
        <w:t xml:space="preserve">, where </w:t>
      </w:r>
      <w:r w:rsidRPr="00EE5B02">
        <w:rPr>
          <w:i/>
        </w:rPr>
        <w:t>A</w:t>
      </w:r>
      <w:r>
        <w:t xml:space="preserve"> is absorbance, </w:t>
      </w:r>
      <w:r w:rsidRPr="00EE5B02">
        <w:rPr>
          <w:i/>
        </w:rPr>
        <w:t>a</w:t>
      </w:r>
      <w:r>
        <w:t xml:space="preserve"> is absorptivity, </w:t>
      </w:r>
      <w:r w:rsidRPr="00EE5B02">
        <w:rPr>
          <w:i/>
        </w:rPr>
        <w:t>b</w:t>
      </w:r>
      <w:r>
        <w:t xml:space="preserve"> is path length, and </w:t>
      </w:r>
      <w:r w:rsidRPr="00EE5B02">
        <w:rPr>
          <w:i/>
        </w:rPr>
        <w:t>c</w:t>
      </w:r>
      <w:r>
        <w:t xml:space="preserve"> is concentration) (answer = 2.91 (± 0.04) x 10</w:t>
      </w:r>
      <w:r w:rsidRPr="009701DB">
        <w:rPr>
          <w:vertAlign w:val="superscript"/>
        </w:rPr>
        <w:t>-3</w:t>
      </w:r>
      <w:r>
        <w:t xml:space="preserve"> ppm</w:t>
      </w:r>
      <w:r w:rsidRPr="009701DB">
        <w:rPr>
          <w:vertAlign w:val="superscript"/>
        </w:rPr>
        <w:t>-1</w:t>
      </w:r>
      <w:r>
        <w:t xml:space="preserve"> cm</w:t>
      </w:r>
      <w:r w:rsidRPr="009701DB">
        <w:rPr>
          <w:vertAlign w:val="superscript"/>
        </w:rPr>
        <w:t>-1</w:t>
      </w:r>
      <w:r>
        <w:t>)</w:t>
      </w:r>
    </w:p>
    <w:p w:rsidR="001536CA" w:rsidRDefault="001536CA" w:rsidP="001536CA"/>
    <w:p w:rsidR="001536CA" w:rsidRDefault="001536CA" w:rsidP="001536CA">
      <w:pPr>
        <w:pStyle w:val="ListParagraph"/>
        <w:numPr>
          <w:ilvl w:val="0"/>
          <w:numId w:val="2"/>
        </w:numPr>
      </w:pPr>
      <w:r>
        <w:t>A solution with an unknown concentration of dye yielded an absorbance of 0.884 ± 0.003 in the same cuvette for 3 replicate measurements.  Calculate the concentration of dye in the unknown.  (answer = 304 ± 5 ppm)</w:t>
      </w:r>
    </w:p>
    <w:p w:rsidR="001536CA" w:rsidRPr="000569F5" w:rsidRDefault="001536CA" w:rsidP="001536CA">
      <w:pPr>
        <w:rPr>
          <w:b/>
        </w:rPr>
      </w:pPr>
    </w:p>
    <w:p w:rsidR="001536CA" w:rsidRDefault="001536CA"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Pr="00412E1A" w:rsidRDefault="0010352D" w:rsidP="0010352D">
      <w:pPr>
        <w:rPr>
          <w:b/>
        </w:rPr>
      </w:pPr>
      <w:r>
        <w:rPr>
          <w:b/>
        </w:rPr>
        <w:lastRenderedPageBreak/>
        <w:t>Methods of Calibration</w:t>
      </w:r>
    </w:p>
    <w:p w:rsidR="0010352D" w:rsidRDefault="0010352D" w:rsidP="0010352D"/>
    <w:p w:rsidR="0010352D" w:rsidRDefault="0010352D" w:rsidP="0010352D">
      <w:r>
        <w:t>Learning Objectives – After completing this exercise, students will be able to:</w:t>
      </w:r>
    </w:p>
    <w:p w:rsidR="0010352D" w:rsidRDefault="0010352D" w:rsidP="0010352D">
      <w:pPr>
        <w:pStyle w:val="ListParagraph"/>
        <w:numPr>
          <w:ilvl w:val="0"/>
          <w:numId w:val="1"/>
        </w:numPr>
      </w:pPr>
      <w:r>
        <w:t>Identify a quantitation as an external calibration or standard addition.</w:t>
      </w:r>
    </w:p>
    <w:p w:rsidR="0010352D" w:rsidRDefault="0010352D" w:rsidP="0010352D">
      <w:pPr>
        <w:pStyle w:val="ListParagraph"/>
        <w:numPr>
          <w:ilvl w:val="0"/>
          <w:numId w:val="1"/>
        </w:numPr>
      </w:pPr>
      <w:r>
        <w:t>Identify when an internal standard is used in a quantitation.</w:t>
      </w:r>
    </w:p>
    <w:p w:rsidR="0010352D" w:rsidRDefault="0010352D" w:rsidP="0010352D">
      <w:pPr>
        <w:pStyle w:val="ListParagraph"/>
        <w:numPr>
          <w:ilvl w:val="0"/>
          <w:numId w:val="1"/>
        </w:numPr>
      </w:pPr>
      <w:r>
        <w:t>Describe under what circumstances an external calibration, standard addition, and internal standard are used in a quantitation.</w:t>
      </w:r>
    </w:p>
    <w:p w:rsidR="0010352D" w:rsidRDefault="0010352D" w:rsidP="0010352D">
      <w:pPr>
        <w:pStyle w:val="ListParagraph"/>
        <w:numPr>
          <w:ilvl w:val="0"/>
          <w:numId w:val="1"/>
        </w:numPr>
      </w:pPr>
      <w:r>
        <w:t>Generate a calibration curve based on a set of external standards.</w:t>
      </w:r>
    </w:p>
    <w:p w:rsidR="0010352D" w:rsidRDefault="0010352D" w:rsidP="0010352D">
      <w:pPr>
        <w:pStyle w:val="ListParagraph"/>
        <w:numPr>
          <w:ilvl w:val="0"/>
          <w:numId w:val="1"/>
        </w:numPr>
      </w:pPr>
      <w:r>
        <w:t>Use a calibration curve to determine the amount of unknown analyte in a sample.</w:t>
      </w:r>
    </w:p>
    <w:p w:rsidR="0010352D" w:rsidRDefault="0010352D" w:rsidP="0010352D">
      <w:pPr>
        <w:pStyle w:val="ListParagraph"/>
        <w:numPr>
          <w:ilvl w:val="0"/>
          <w:numId w:val="1"/>
        </w:numPr>
      </w:pPr>
      <w:r>
        <w:t>Compare an experimental value to a reported value.</w:t>
      </w:r>
    </w:p>
    <w:p w:rsidR="0010352D" w:rsidRDefault="0010352D" w:rsidP="0010352D">
      <w:pPr>
        <w:rPr>
          <w:b/>
        </w:rPr>
      </w:pPr>
    </w:p>
    <w:p w:rsidR="0010352D" w:rsidRDefault="0010352D" w:rsidP="0010352D">
      <w:r w:rsidRPr="009E3073">
        <w:rPr>
          <w:b/>
        </w:rPr>
        <w:t>Part 1.</w:t>
      </w:r>
      <w:r>
        <w:t xml:space="preserve">  For each of the following situations, identify what type of calibration is being performed.</w:t>
      </w:r>
      <w:r w:rsidR="004A03C4">
        <w:rPr>
          <w:rStyle w:val="FootnoteReference"/>
        </w:rPr>
        <w:footnoteReference w:id="1"/>
      </w:r>
      <w:r>
        <w:t xml:space="preserve">  Choose between the following:  </w:t>
      </w:r>
    </w:p>
    <w:p w:rsidR="0010352D" w:rsidRDefault="0010352D" w:rsidP="0010352D">
      <w:pPr>
        <w:pStyle w:val="ListParagraph"/>
        <w:numPr>
          <w:ilvl w:val="0"/>
          <w:numId w:val="1"/>
        </w:numPr>
      </w:pPr>
      <w:r>
        <w:t>external calibration or standard addition</w:t>
      </w:r>
    </w:p>
    <w:p w:rsidR="0010352D" w:rsidRDefault="0010352D" w:rsidP="0010352D">
      <w:pPr>
        <w:pStyle w:val="ListParagraph"/>
        <w:numPr>
          <w:ilvl w:val="0"/>
          <w:numId w:val="1"/>
        </w:numPr>
      </w:pPr>
      <w:r>
        <w:t>single- or multi-point</w:t>
      </w:r>
    </w:p>
    <w:p w:rsidR="0010352D" w:rsidRDefault="0010352D" w:rsidP="0010352D">
      <w:pPr>
        <w:pStyle w:val="ListParagraph"/>
        <w:numPr>
          <w:ilvl w:val="0"/>
          <w:numId w:val="1"/>
        </w:numPr>
      </w:pPr>
      <w:proofErr w:type="gramStart"/>
      <w:r>
        <w:t>with</w:t>
      </w:r>
      <w:proofErr w:type="gramEnd"/>
      <w:r>
        <w:t xml:space="preserve"> or without an internal standard.  </w:t>
      </w:r>
    </w:p>
    <w:p w:rsidR="0010352D" w:rsidRDefault="0010352D" w:rsidP="0010352D">
      <w:r>
        <w:t>Justify your answer by describing the characteristics of the situation that lead to your determination.  (You can use these situations as practice, but you are not required to solve the problem for this assignment.  Answers are provided.)</w:t>
      </w:r>
    </w:p>
    <w:p w:rsidR="0010352D" w:rsidRDefault="0010352D" w:rsidP="0010352D"/>
    <w:p w:rsidR="0010352D" w:rsidRDefault="0010352D" w:rsidP="0010352D">
      <w:pPr>
        <w:pStyle w:val="ListParagraph"/>
        <w:numPr>
          <w:ilvl w:val="1"/>
          <w:numId w:val="3"/>
        </w:numPr>
      </w:pPr>
      <w:r>
        <w:t>A spectrophotometric method for the quantitative analysis of Pb</w:t>
      </w:r>
      <w:r w:rsidRPr="00C9346F">
        <w:rPr>
          <w:vertAlign w:val="superscript"/>
        </w:rPr>
        <w:t>2+</w:t>
      </w:r>
      <w:r>
        <w:t xml:space="preserve"> in blood uses Cu</w:t>
      </w:r>
      <w:r w:rsidRPr="00C9346F">
        <w:rPr>
          <w:vertAlign w:val="superscript"/>
        </w:rPr>
        <w:t>2+</w:t>
      </w:r>
      <w:r>
        <w:t xml:space="preserve"> as an internal standard. A standard that is 1.75 ppb Pb</w:t>
      </w:r>
      <w:r w:rsidRPr="00C9346F">
        <w:rPr>
          <w:vertAlign w:val="superscript"/>
        </w:rPr>
        <w:t>2+</w:t>
      </w:r>
      <w:r>
        <w:t xml:space="preserve"> and 2.25 ppb Cu</w:t>
      </w:r>
      <w:r w:rsidRPr="00C9346F">
        <w:rPr>
          <w:vertAlign w:val="superscript"/>
        </w:rPr>
        <w:t>2+</w:t>
      </w:r>
      <w:r>
        <w:t xml:space="preserve"> yields a ratio of (S</w:t>
      </w:r>
      <w:r w:rsidRPr="00615360">
        <w:rPr>
          <w:vertAlign w:val="subscript"/>
        </w:rPr>
        <w:t>A</w:t>
      </w:r>
      <w:r>
        <w:t>/S</w:t>
      </w:r>
      <w:r w:rsidRPr="00615360">
        <w:rPr>
          <w:vertAlign w:val="subscript"/>
        </w:rPr>
        <w:t>IS</w:t>
      </w:r>
      <w:proofErr w:type="gramStart"/>
      <w:r>
        <w:t>)</w:t>
      </w:r>
      <w:proofErr w:type="spellStart"/>
      <w:r w:rsidRPr="00C9346F">
        <w:rPr>
          <w:vertAlign w:val="subscript"/>
        </w:rPr>
        <w:t>std</w:t>
      </w:r>
      <w:proofErr w:type="spellEnd"/>
      <w:proofErr w:type="gramEnd"/>
      <w:r>
        <w:t xml:space="preserve"> of 2.37. A sample of blood spiked with the same concentration of Cu</w:t>
      </w:r>
      <w:r w:rsidRPr="00C9346F">
        <w:rPr>
          <w:vertAlign w:val="superscript"/>
        </w:rPr>
        <w:t>2+</w:t>
      </w:r>
      <w:r>
        <w:t xml:space="preserve"> gives a signal ratio, (S</w:t>
      </w:r>
      <w:r w:rsidRPr="00615360">
        <w:rPr>
          <w:vertAlign w:val="subscript"/>
        </w:rPr>
        <w:t>A</w:t>
      </w:r>
      <w:r>
        <w:t>/S</w:t>
      </w:r>
      <w:r w:rsidRPr="00615360">
        <w:rPr>
          <w:vertAlign w:val="subscript"/>
        </w:rPr>
        <w:t>IS</w:t>
      </w:r>
      <w:proofErr w:type="gramStart"/>
      <w:r>
        <w:t>)</w:t>
      </w:r>
      <w:proofErr w:type="spellStart"/>
      <w:r w:rsidRPr="00C9346F">
        <w:rPr>
          <w:vertAlign w:val="subscript"/>
        </w:rPr>
        <w:t>samp</w:t>
      </w:r>
      <w:proofErr w:type="spellEnd"/>
      <w:proofErr w:type="gramEnd"/>
      <w:r>
        <w:t>, of 1.80. What is the concentration of Pb</w:t>
      </w:r>
      <w:r w:rsidRPr="00C9346F">
        <w:rPr>
          <w:vertAlign w:val="superscript"/>
        </w:rPr>
        <w:t>2+</w:t>
      </w:r>
      <w:r>
        <w:t xml:space="preserve"> in the sample of blood? (answer = 1.33 ppb)</w:t>
      </w:r>
    </w:p>
    <w:p w:rsidR="0010352D" w:rsidRDefault="0010352D" w:rsidP="0010352D">
      <w:pPr>
        <w:pStyle w:val="ListParagraph"/>
      </w:pPr>
    </w:p>
    <w:p w:rsidR="0010352D" w:rsidRDefault="0010352D" w:rsidP="0010352D">
      <w:pPr>
        <w:pStyle w:val="ListParagraph"/>
        <w:numPr>
          <w:ilvl w:val="1"/>
          <w:numId w:val="3"/>
        </w:numPr>
      </w:pPr>
      <w:r>
        <w:t>A spectrophotometric method for the quantitative analysis of Pb</w:t>
      </w:r>
      <w:r w:rsidRPr="005D1AB5">
        <w:rPr>
          <w:vertAlign w:val="superscript"/>
        </w:rPr>
        <w:t>2+</w:t>
      </w:r>
      <w:r>
        <w:t xml:space="preserve"> in blood yields an </w:t>
      </w:r>
      <w:proofErr w:type="spellStart"/>
      <w:r>
        <w:t>S</w:t>
      </w:r>
      <w:r w:rsidRPr="005D1AB5">
        <w:rPr>
          <w:vertAlign w:val="subscript"/>
        </w:rPr>
        <w:t>samp</w:t>
      </w:r>
      <w:proofErr w:type="spellEnd"/>
      <w:r>
        <w:t xml:space="preserve"> of 2.80.  A calibration curve prepared from standard Pb</w:t>
      </w:r>
      <w:r w:rsidRPr="005D1AB5">
        <w:rPr>
          <w:vertAlign w:val="superscript"/>
        </w:rPr>
        <w:t>2+</w:t>
      </w:r>
      <w:r>
        <w:t xml:space="preserve"> solutions has the equation S = (2.11 ppb</w:t>
      </w:r>
      <w:r w:rsidRPr="004B5A12">
        <w:rPr>
          <w:vertAlign w:val="superscript"/>
        </w:rPr>
        <w:t>-1</w:t>
      </w:r>
      <w:r>
        <w:t>) × ppb Pb</w:t>
      </w:r>
      <w:r w:rsidRPr="004B5A12">
        <w:rPr>
          <w:vertAlign w:val="superscript"/>
        </w:rPr>
        <w:t>2+</w:t>
      </w:r>
      <w:r>
        <w:t xml:space="preserve"> - 0.006.  What is the concentration of Pb</w:t>
      </w:r>
      <w:r w:rsidRPr="005D1AB5">
        <w:rPr>
          <w:vertAlign w:val="superscript"/>
        </w:rPr>
        <w:t>2+</w:t>
      </w:r>
      <w:r>
        <w:t xml:space="preserve"> in the original sample of blood? (answer = 1.33 ppb)</w:t>
      </w:r>
    </w:p>
    <w:p w:rsidR="0010352D" w:rsidRDefault="0010352D" w:rsidP="0010352D"/>
    <w:p w:rsidR="0010352D" w:rsidRDefault="0010352D" w:rsidP="0010352D">
      <w:pPr>
        <w:pStyle w:val="ListParagraph"/>
        <w:numPr>
          <w:ilvl w:val="1"/>
          <w:numId w:val="3"/>
        </w:numPr>
      </w:pPr>
      <w:r>
        <w:t>A spectrophotometric method for the quantitative analysis of Pb</w:t>
      </w:r>
      <w:r w:rsidRPr="00C9346F">
        <w:rPr>
          <w:vertAlign w:val="superscript"/>
        </w:rPr>
        <w:t>2+</w:t>
      </w:r>
      <w:r>
        <w:t xml:space="preserve"> in blood yields an </w:t>
      </w:r>
      <w:proofErr w:type="spellStart"/>
      <w:r>
        <w:t>S</w:t>
      </w:r>
      <w:r w:rsidRPr="00C9346F">
        <w:rPr>
          <w:vertAlign w:val="subscript"/>
        </w:rPr>
        <w:t>samp</w:t>
      </w:r>
      <w:proofErr w:type="spellEnd"/>
      <w:r>
        <w:t xml:space="preserve"> of 0.712 for a 5.00 mL sample of blood. After spiking the 5.00 mL blood sample with 5.00 µL of a 1560 ppb Pb</w:t>
      </w:r>
      <w:r w:rsidRPr="00C9346F">
        <w:rPr>
          <w:vertAlign w:val="superscript"/>
        </w:rPr>
        <w:t>2+</w:t>
      </w:r>
      <w:r>
        <w:t xml:space="preserve"> standard, an </w:t>
      </w:r>
      <w:proofErr w:type="spellStart"/>
      <w:r>
        <w:t>S</w:t>
      </w:r>
      <w:r w:rsidRPr="00C9346F">
        <w:rPr>
          <w:vertAlign w:val="subscript"/>
        </w:rPr>
        <w:t>spike</w:t>
      </w:r>
      <w:proofErr w:type="spellEnd"/>
      <w:r>
        <w:t xml:space="preserve"> of 1.546 is measured. What is the concentration of Pb</w:t>
      </w:r>
      <w:r w:rsidRPr="00C9346F">
        <w:rPr>
          <w:vertAlign w:val="superscript"/>
        </w:rPr>
        <w:t>2+</w:t>
      </w:r>
      <w:r>
        <w:t xml:space="preserve"> in the original sample of blood? (answer = 1.33 ppb)</w:t>
      </w:r>
    </w:p>
    <w:p w:rsidR="0010352D" w:rsidRDefault="0010352D" w:rsidP="0010352D">
      <w:pPr>
        <w:pStyle w:val="ListParagraph"/>
      </w:pPr>
    </w:p>
    <w:p w:rsidR="0010352D" w:rsidRDefault="0010352D" w:rsidP="0010352D">
      <w:pPr>
        <w:pStyle w:val="ListParagraph"/>
        <w:numPr>
          <w:ilvl w:val="1"/>
          <w:numId w:val="3"/>
        </w:numPr>
      </w:pPr>
      <w:r>
        <w:t>A spectrophotometric method for the quantitative analysis of Pb</w:t>
      </w:r>
      <w:r w:rsidRPr="00775A48">
        <w:rPr>
          <w:vertAlign w:val="superscript"/>
        </w:rPr>
        <w:t>2+</w:t>
      </w:r>
      <w:r>
        <w:t xml:space="preserve"> in blood was designed wherein 1.00 mL of the original blood sample and varying volumes of a1560 ppb Pb</w:t>
      </w:r>
      <w:r w:rsidRPr="000614AE">
        <w:rPr>
          <w:vertAlign w:val="superscript"/>
        </w:rPr>
        <w:t>2+</w:t>
      </w:r>
      <w:r>
        <w:t xml:space="preserve"> standard were combined in 5.00 mL volumetric flasks. All samples were diluted to volume before measuring the signal. A plot of </w:t>
      </w:r>
      <w:proofErr w:type="spellStart"/>
      <w:proofErr w:type="gramStart"/>
      <w:r>
        <w:t>S</w:t>
      </w:r>
      <w:r w:rsidRPr="00AC39B2">
        <w:rPr>
          <w:vertAlign w:val="subscript"/>
        </w:rPr>
        <w:t>spike</w:t>
      </w:r>
      <w:proofErr w:type="spellEnd"/>
      <w:r>
        <w:t>(</w:t>
      </w:r>
      <w:proofErr w:type="gramEnd"/>
      <w:r>
        <w:t>V/V</w:t>
      </w:r>
      <w:r w:rsidRPr="005D1AB5">
        <w:rPr>
          <w:vertAlign w:val="subscript"/>
        </w:rPr>
        <w:t>0</w:t>
      </w:r>
      <w:r>
        <w:t>) versus ppb Pb</w:t>
      </w:r>
      <w:r w:rsidRPr="005D1AB5">
        <w:rPr>
          <w:vertAlign w:val="superscript"/>
        </w:rPr>
        <w:t>2+</w:t>
      </w:r>
      <w:r>
        <w:t xml:space="preserve"> has the equation </w:t>
      </w:r>
      <w:proofErr w:type="spellStart"/>
      <w:r>
        <w:t>S</w:t>
      </w:r>
      <w:r w:rsidRPr="005D1AB5">
        <w:rPr>
          <w:vertAlign w:val="subscript"/>
        </w:rPr>
        <w:t>spike</w:t>
      </w:r>
      <w:proofErr w:type="spellEnd"/>
      <w:r>
        <w:t>(V/V</w:t>
      </w:r>
      <w:r w:rsidRPr="005D1AB5">
        <w:rPr>
          <w:vertAlign w:val="subscript"/>
        </w:rPr>
        <w:t>0</w:t>
      </w:r>
      <w:r>
        <w:t>) = (1.55 ppb</w:t>
      </w:r>
      <w:r w:rsidRPr="005D1AB5">
        <w:rPr>
          <w:vertAlign w:val="superscript"/>
        </w:rPr>
        <w:t>-1</w:t>
      </w:r>
      <w:r>
        <w:t>) × ppb Pb</w:t>
      </w:r>
      <w:r w:rsidRPr="005D1AB5">
        <w:rPr>
          <w:vertAlign w:val="superscript"/>
        </w:rPr>
        <w:t>2+</w:t>
      </w:r>
      <w:r>
        <w:t xml:space="preserve"> + 2.06.  What is the concentration of Pb</w:t>
      </w:r>
      <w:r w:rsidRPr="005D1AB5">
        <w:rPr>
          <w:vertAlign w:val="superscript"/>
        </w:rPr>
        <w:t>2+</w:t>
      </w:r>
      <w:r>
        <w:t xml:space="preserve"> in the original sample of blood? (answer = 1.33 ppb)</w:t>
      </w:r>
    </w:p>
    <w:p w:rsidR="0010352D" w:rsidRDefault="0010352D" w:rsidP="0010352D"/>
    <w:p w:rsidR="0010352D" w:rsidRDefault="0010352D" w:rsidP="0010352D"/>
    <w:p w:rsidR="0010352D" w:rsidRDefault="0010352D" w:rsidP="0010352D"/>
    <w:p w:rsidR="0010352D" w:rsidRDefault="0010352D" w:rsidP="0010352D">
      <w:r w:rsidRPr="00A51162">
        <w:rPr>
          <w:b/>
        </w:rPr>
        <w:t>Part 2.</w:t>
      </w:r>
      <w:r>
        <w:t xml:space="preserve">  An experiment was performed to determine the milligrams Cu and Fe in a vitamin tablet.  The following procedure was performed:</w:t>
      </w:r>
    </w:p>
    <w:p w:rsidR="0010352D" w:rsidRDefault="0010352D" w:rsidP="0010352D">
      <w:pPr>
        <w:numPr>
          <w:ilvl w:val="0"/>
          <w:numId w:val="4"/>
        </w:numPr>
      </w:pPr>
      <w:r>
        <w:t xml:space="preserve">A vitamin tablet was dissolved in acid and diluted to 100.00 mL with water. </w:t>
      </w:r>
    </w:p>
    <w:p w:rsidR="0010352D" w:rsidRDefault="0010352D" w:rsidP="0010352D">
      <w:pPr>
        <w:numPr>
          <w:ilvl w:val="0"/>
          <w:numId w:val="4"/>
        </w:numPr>
      </w:pPr>
      <w:r>
        <w:t>A 2.00 mL aliquot of the solution from part 1 is transferred by volumetric pipette to a 100.00 mL volumetric flask and diluted to volume.</w:t>
      </w:r>
    </w:p>
    <w:p w:rsidR="0010352D" w:rsidRDefault="0010352D" w:rsidP="0010352D">
      <w:pPr>
        <w:numPr>
          <w:ilvl w:val="0"/>
          <w:numId w:val="4"/>
        </w:numPr>
      </w:pPr>
      <w:r>
        <w:t>The solution from part 2 is analyzed with an atomic absorption spectrometer (AA).  The AA instrument reports the absorbance of the element of interest.  Recall that Beer’s Law tells us the absorbance of a sample is directly proportional to its concentration.</w:t>
      </w:r>
    </w:p>
    <w:p w:rsidR="0010352D" w:rsidRDefault="0010352D" w:rsidP="0010352D">
      <w:pPr>
        <w:numPr>
          <w:ilvl w:val="0"/>
          <w:numId w:val="4"/>
        </w:numPr>
      </w:pPr>
      <w:r>
        <w:t>A series of calibration standards are prepared from Cu and Fe metal standards.  These calibration standards are also analyzed with the AA.</w:t>
      </w:r>
    </w:p>
    <w:p w:rsidR="0010352D" w:rsidRDefault="0010352D" w:rsidP="0010352D"/>
    <w:p w:rsidR="0010352D" w:rsidRDefault="0010352D" w:rsidP="0010352D">
      <w:r>
        <w:t>The following data were obtained:</w:t>
      </w:r>
    </w:p>
    <w:p w:rsidR="0010352D" w:rsidRDefault="0010352D" w:rsidP="0010352D"/>
    <w:tbl>
      <w:tblPr>
        <w:tblW w:w="5640" w:type="dxa"/>
        <w:tblInd w:w="97" w:type="dxa"/>
        <w:tblLook w:val="0000" w:firstRow="0" w:lastRow="0" w:firstColumn="0" w:lastColumn="0" w:noHBand="0" w:noVBand="0"/>
      </w:tblPr>
      <w:tblGrid>
        <w:gridCol w:w="1462"/>
        <w:gridCol w:w="898"/>
        <w:gridCol w:w="920"/>
        <w:gridCol w:w="1440"/>
        <w:gridCol w:w="920"/>
      </w:tblGrid>
      <w:tr w:rsidR="0010352D" w:rsidTr="00C32DD7">
        <w:trPr>
          <w:trHeight w:val="351"/>
        </w:trPr>
        <w:tc>
          <w:tcPr>
            <w:tcW w:w="3280" w:type="dxa"/>
            <w:gridSpan w:val="3"/>
            <w:tcBorders>
              <w:top w:val="nil"/>
              <w:left w:val="nil"/>
              <w:bottom w:val="single" w:sz="4" w:space="0" w:color="auto"/>
              <w:right w:val="nil"/>
            </w:tcBorders>
            <w:shd w:val="clear" w:color="auto" w:fill="auto"/>
            <w:noWrap/>
            <w:vAlign w:val="bottom"/>
          </w:tcPr>
          <w:p w:rsidR="0010352D" w:rsidRDefault="0010352D" w:rsidP="00C32DD7">
            <w:pPr>
              <w:rPr>
                <w:rFonts w:ascii="Arial" w:hAnsi="Arial" w:cs="Arial"/>
                <w:b/>
                <w:bCs/>
                <w:sz w:val="20"/>
                <w:szCs w:val="20"/>
              </w:rPr>
            </w:pPr>
            <w:r>
              <w:rPr>
                <w:rFonts w:ascii="Arial" w:hAnsi="Arial" w:cs="Arial"/>
                <w:b/>
                <w:bCs/>
                <w:sz w:val="20"/>
                <w:szCs w:val="20"/>
              </w:rPr>
              <w:t>Vitamin Tablet Samples</w:t>
            </w: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8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r>
              <w:rPr>
                <w:rFonts w:ascii="Arial" w:hAnsi="Arial" w:cs="Arial"/>
                <w:b/>
                <w:bCs/>
                <w:sz w:val="20"/>
                <w:szCs w:val="20"/>
              </w:rPr>
              <w:t>Sample</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proofErr w:type="spellStart"/>
            <w:r>
              <w:rPr>
                <w:rFonts w:ascii="Arial" w:hAnsi="Arial" w:cs="Arial"/>
                <w:b/>
                <w:bCs/>
                <w:sz w:val="20"/>
                <w:szCs w:val="20"/>
              </w:rPr>
              <w:t>Abs</w:t>
            </w:r>
            <w:r>
              <w:rPr>
                <w:rFonts w:ascii="Arial" w:hAnsi="Arial" w:cs="Arial"/>
                <w:b/>
                <w:bCs/>
                <w:sz w:val="20"/>
                <w:szCs w:val="20"/>
                <w:vertAlign w:val="subscript"/>
              </w:rPr>
              <w:t>Cu</w:t>
            </w:r>
            <w:proofErr w:type="spellEnd"/>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proofErr w:type="spellStart"/>
            <w:r>
              <w:rPr>
                <w:rFonts w:ascii="Arial" w:hAnsi="Arial" w:cs="Arial"/>
                <w:b/>
                <w:bCs/>
                <w:sz w:val="20"/>
                <w:szCs w:val="20"/>
              </w:rPr>
              <w:t>Abs</w:t>
            </w:r>
            <w:r>
              <w:rPr>
                <w:rFonts w:ascii="Arial" w:hAnsi="Arial" w:cs="Arial"/>
                <w:b/>
                <w:bCs/>
                <w:sz w:val="20"/>
                <w:szCs w:val="20"/>
                <w:vertAlign w:val="subscript"/>
              </w:rPr>
              <w:t>Fe</w:t>
            </w:r>
            <w:proofErr w:type="spellEnd"/>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1</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0.2955</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0.6927</w:t>
            </w: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2</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0.2766</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0.6518</w:t>
            </w: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3</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0.2519</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0.6223</w:t>
            </w: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4</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0.2590</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0.6015</w:t>
            </w: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r>
      <w:tr w:rsidR="0010352D" w:rsidTr="00C32DD7">
        <w:trPr>
          <w:trHeight w:val="255"/>
        </w:trPr>
        <w:tc>
          <w:tcPr>
            <w:tcW w:w="2360" w:type="dxa"/>
            <w:gridSpan w:val="2"/>
            <w:tcBorders>
              <w:top w:val="nil"/>
              <w:left w:val="nil"/>
              <w:bottom w:val="single" w:sz="4" w:space="0" w:color="auto"/>
              <w:right w:val="nil"/>
            </w:tcBorders>
            <w:shd w:val="clear" w:color="auto" w:fill="auto"/>
            <w:noWrap/>
            <w:vAlign w:val="bottom"/>
          </w:tcPr>
          <w:p w:rsidR="0010352D" w:rsidRDefault="0010352D" w:rsidP="00C32DD7">
            <w:pPr>
              <w:rPr>
                <w:rFonts w:ascii="Arial" w:hAnsi="Arial" w:cs="Arial"/>
                <w:b/>
                <w:bCs/>
                <w:sz w:val="20"/>
                <w:szCs w:val="20"/>
              </w:rPr>
            </w:pPr>
            <w:r>
              <w:rPr>
                <w:rFonts w:ascii="Arial" w:hAnsi="Arial" w:cs="Arial"/>
                <w:b/>
                <w:bCs/>
                <w:sz w:val="20"/>
                <w:szCs w:val="20"/>
              </w:rPr>
              <w:t>Cu calibration data</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2360" w:type="dxa"/>
            <w:gridSpan w:val="2"/>
            <w:tcBorders>
              <w:top w:val="nil"/>
              <w:left w:val="nil"/>
              <w:bottom w:val="single" w:sz="4" w:space="0" w:color="auto"/>
              <w:right w:val="nil"/>
            </w:tcBorders>
            <w:shd w:val="clear" w:color="auto" w:fill="auto"/>
            <w:noWrap/>
            <w:vAlign w:val="bottom"/>
          </w:tcPr>
          <w:p w:rsidR="0010352D" w:rsidRDefault="0010352D" w:rsidP="00C32DD7">
            <w:pPr>
              <w:rPr>
                <w:rFonts w:ascii="Arial" w:hAnsi="Arial" w:cs="Arial"/>
                <w:b/>
                <w:bCs/>
                <w:sz w:val="20"/>
                <w:szCs w:val="20"/>
              </w:rPr>
            </w:pPr>
            <w:r>
              <w:rPr>
                <w:rFonts w:ascii="Arial" w:hAnsi="Arial" w:cs="Arial"/>
                <w:b/>
                <w:bCs/>
                <w:sz w:val="20"/>
                <w:szCs w:val="20"/>
              </w:rPr>
              <w:t>Fe calibration data</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r>
              <w:rPr>
                <w:rFonts w:ascii="Arial" w:hAnsi="Arial" w:cs="Arial"/>
                <w:b/>
                <w:bCs/>
                <w:sz w:val="20"/>
                <w:szCs w:val="20"/>
              </w:rPr>
              <w:t>[Cu] (ppm)</w:t>
            </w:r>
          </w:p>
        </w:tc>
        <w:tc>
          <w:tcPr>
            <w:tcW w:w="898"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r>
              <w:rPr>
                <w:rFonts w:ascii="Arial" w:hAnsi="Arial" w:cs="Arial"/>
                <w:b/>
                <w:bCs/>
                <w:sz w:val="20"/>
                <w:szCs w:val="20"/>
              </w:rPr>
              <w:t>Abs</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r>
              <w:rPr>
                <w:rFonts w:ascii="Arial" w:hAnsi="Arial" w:cs="Arial"/>
                <w:b/>
                <w:bCs/>
                <w:sz w:val="20"/>
                <w:szCs w:val="20"/>
              </w:rPr>
              <w:t>[Fe] (ppm)</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b/>
                <w:bCs/>
                <w:sz w:val="20"/>
                <w:szCs w:val="20"/>
              </w:rPr>
            </w:pPr>
            <w:r>
              <w:rPr>
                <w:rFonts w:ascii="Arial" w:hAnsi="Arial" w:cs="Arial"/>
                <w:b/>
                <w:bCs/>
                <w:sz w:val="20"/>
                <w:szCs w:val="20"/>
              </w:rPr>
              <w:t>Abs</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10.0</w:t>
            </w:r>
          </w:p>
        </w:tc>
        <w:tc>
          <w:tcPr>
            <w:tcW w:w="898"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0.0635</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50.0</w:t>
            </w:r>
          </w:p>
        </w:tc>
        <w:tc>
          <w:tcPr>
            <w:tcW w:w="920"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0.2413</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25.0</w:t>
            </w:r>
          </w:p>
        </w:tc>
        <w:tc>
          <w:tcPr>
            <w:tcW w:w="898"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0.2772</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100.0</w:t>
            </w:r>
          </w:p>
        </w:tc>
        <w:tc>
          <w:tcPr>
            <w:tcW w:w="920"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0.4586</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50.0</w:t>
            </w:r>
          </w:p>
        </w:tc>
        <w:tc>
          <w:tcPr>
            <w:tcW w:w="898"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0.4723</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150.0</w:t>
            </w:r>
          </w:p>
        </w:tc>
        <w:tc>
          <w:tcPr>
            <w:tcW w:w="920"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0.6615</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75.0</w:t>
            </w:r>
          </w:p>
        </w:tc>
        <w:tc>
          <w:tcPr>
            <w:tcW w:w="898"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0.6912</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200.0</w:t>
            </w:r>
          </w:p>
        </w:tc>
        <w:tc>
          <w:tcPr>
            <w:tcW w:w="920"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0.9284</w:t>
            </w:r>
          </w:p>
        </w:tc>
      </w:tr>
      <w:tr w:rsidR="0010352D" w:rsidTr="00C32DD7">
        <w:trPr>
          <w:trHeight w:val="255"/>
        </w:trPr>
        <w:tc>
          <w:tcPr>
            <w:tcW w:w="1462"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100.0</w:t>
            </w:r>
          </w:p>
        </w:tc>
        <w:tc>
          <w:tcPr>
            <w:tcW w:w="898"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0.8814</w:t>
            </w:r>
          </w:p>
        </w:tc>
        <w:tc>
          <w:tcPr>
            <w:tcW w:w="92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10352D" w:rsidRDefault="0010352D" w:rsidP="00C32DD7">
            <w:pPr>
              <w:jc w:val="center"/>
              <w:rPr>
                <w:rFonts w:ascii="Arial" w:hAnsi="Arial" w:cs="Arial"/>
                <w:sz w:val="20"/>
                <w:szCs w:val="20"/>
              </w:rPr>
            </w:pPr>
            <w:r>
              <w:rPr>
                <w:rFonts w:ascii="Arial" w:hAnsi="Arial" w:cs="Arial"/>
                <w:sz w:val="20"/>
                <w:szCs w:val="20"/>
              </w:rPr>
              <w:t>250.0</w:t>
            </w:r>
          </w:p>
        </w:tc>
        <w:tc>
          <w:tcPr>
            <w:tcW w:w="920" w:type="dxa"/>
            <w:tcBorders>
              <w:top w:val="nil"/>
              <w:left w:val="nil"/>
              <w:bottom w:val="nil"/>
              <w:right w:val="nil"/>
            </w:tcBorders>
            <w:shd w:val="clear" w:color="auto" w:fill="auto"/>
            <w:noWrap/>
            <w:vAlign w:val="bottom"/>
          </w:tcPr>
          <w:p w:rsidR="0010352D" w:rsidRDefault="0010352D" w:rsidP="00C32DD7">
            <w:pPr>
              <w:jc w:val="right"/>
              <w:rPr>
                <w:rFonts w:ascii="Arial" w:hAnsi="Arial" w:cs="Arial"/>
                <w:sz w:val="20"/>
                <w:szCs w:val="20"/>
              </w:rPr>
            </w:pPr>
            <w:r>
              <w:rPr>
                <w:rFonts w:ascii="Arial" w:hAnsi="Arial" w:cs="Arial"/>
                <w:sz w:val="20"/>
                <w:szCs w:val="20"/>
              </w:rPr>
              <w:t>1.1312</w:t>
            </w:r>
          </w:p>
        </w:tc>
      </w:tr>
    </w:tbl>
    <w:p w:rsidR="0010352D" w:rsidRDefault="0010352D" w:rsidP="0010352D"/>
    <w:p w:rsidR="0010352D" w:rsidRPr="007F61E4" w:rsidRDefault="0010352D" w:rsidP="0010352D">
      <w:r w:rsidRPr="007F61E4">
        <w:t>Your goal is to determine the mg of Cu and Fe in the original tablet and compare the experimental values to the manufacturer’s reported values of 150 mg of Cu and 750 mg of Fe.</w:t>
      </w:r>
    </w:p>
    <w:p w:rsidR="0010352D" w:rsidRPr="007F61E4" w:rsidRDefault="0010352D" w:rsidP="0010352D"/>
    <w:p w:rsidR="0010352D" w:rsidRPr="007F61E4" w:rsidRDefault="0010352D" w:rsidP="0010352D"/>
    <w:p w:rsidR="0010352D" w:rsidRDefault="0010352D" w:rsidP="0010352D"/>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Default="0010352D" w:rsidP="001536CA"/>
    <w:p w:rsidR="0010352D" w:rsidRPr="00412E1A" w:rsidRDefault="0010352D" w:rsidP="0010352D">
      <w:pPr>
        <w:rPr>
          <w:b/>
        </w:rPr>
      </w:pPr>
      <w:r>
        <w:rPr>
          <w:b/>
        </w:rPr>
        <w:t>Standard Addition</w:t>
      </w:r>
    </w:p>
    <w:p w:rsidR="0010352D" w:rsidRDefault="0010352D" w:rsidP="0010352D"/>
    <w:p w:rsidR="0010352D" w:rsidRDefault="0010352D" w:rsidP="0010352D">
      <w:r>
        <w:t>Learning Objectives – After completing this exercise, students will be able to:</w:t>
      </w:r>
    </w:p>
    <w:p w:rsidR="0010352D" w:rsidRDefault="0010352D" w:rsidP="0010352D">
      <w:pPr>
        <w:pStyle w:val="ListParagraph"/>
        <w:numPr>
          <w:ilvl w:val="0"/>
          <w:numId w:val="1"/>
        </w:numPr>
      </w:pPr>
      <w:r>
        <w:t>Identify a quantitation as an external calibration or standard addition.</w:t>
      </w:r>
    </w:p>
    <w:p w:rsidR="0010352D" w:rsidRDefault="0010352D" w:rsidP="0010352D">
      <w:pPr>
        <w:pStyle w:val="ListParagraph"/>
        <w:numPr>
          <w:ilvl w:val="0"/>
          <w:numId w:val="1"/>
        </w:numPr>
      </w:pPr>
      <w:r>
        <w:t>Use a single-point standard addition to calculate an analyte concentration.</w:t>
      </w:r>
    </w:p>
    <w:p w:rsidR="0010352D" w:rsidRDefault="0010352D" w:rsidP="0010352D">
      <w:pPr>
        <w:pStyle w:val="ListParagraph"/>
        <w:numPr>
          <w:ilvl w:val="0"/>
          <w:numId w:val="1"/>
        </w:numPr>
      </w:pPr>
      <w:r>
        <w:t>Generate a standard addition plot.</w:t>
      </w:r>
    </w:p>
    <w:p w:rsidR="0010352D" w:rsidRDefault="0010352D" w:rsidP="0010352D">
      <w:pPr>
        <w:pStyle w:val="ListParagraph"/>
        <w:numPr>
          <w:ilvl w:val="0"/>
          <w:numId w:val="1"/>
        </w:numPr>
      </w:pPr>
      <w:r>
        <w:t>Use a standard addition plot to determine the amount of unknown analyte in a sample.</w:t>
      </w:r>
    </w:p>
    <w:p w:rsidR="0010352D" w:rsidRDefault="0010352D" w:rsidP="0010352D">
      <w:pPr>
        <w:pStyle w:val="ListParagraph"/>
        <w:numPr>
          <w:ilvl w:val="0"/>
          <w:numId w:val="1"/>
        </w:numPr>
      </w:pPr>
      <w:r>
        <w:t>Compare an experimental value to a reported value.</w:t>
      </w:r>
    </w:p>
    <w:p w:rsidR="0010352D" w:rsidRDefault="0010352D" w:rsidP="0010352D">
      <w:pPr>
        <w:rPr>
          <w:b/>
        </w:rPr>
      </w:pPr>
    </w:p>
    <w:p w:rsidR="0010352D" w:rsidRDefault="0010352D" w:rsidP="0010352D">
      <w:r w:rsidRPr="00596DBC">
        <w:rPr>
          <w:b/>
        </w:rPr>
        <w:t>Part 1.</w:t>
      </w:r>
      <w:r>
        <w:t xml:space="preserve">  Identify what type of calibration is being performed.</w:t>
      </w:r>
      <w:r w:rsidR="004A03C4">
        <w:rPr>
          <w:rStyle w:val="FootnoteReference"/>
        </w:rPr>
        <w:footnoteReference w:id="2"/>
      </w:r>
      <w:r>
        <w:t xml:space="preserve">  Choose between the following:  </w:t>
      </w:r>
    </w:p>
    <w:p w:rsidR="0010352D" w:rsidRDefault="0010352D" w:rsidP="0010352D">
      <w:pPr>
        <w:pStyle w:val="ListParagraph"/>
        <w:numPr>
          <w:ilvl w:val="0"/>
          <w:numId w:val="1"/>
        </w:numPr>
      </w:pPr>
      <w:r>
        <w:t>external calibration or standard addition</w:t>
      </w:r>
    </w:p>
    <w:p w:rsidR="0010352D" w:rsidRDefault="0010352D" w:rsidP="0010352D">
      <w:pPr>
        <w:pStyle w:val="ListParagraph"/>
        <w:numPr>
          <w:ilvl w:val="0"/>
          <w:numId w:val="1"/>
        </w:numPr>
      </w:pPr>
      <w:r>
        <w:t>single- or multi-point</w:t>
      </w:r>
    </w:p>
    <w:p w:rsidR="0010352D" w:rsidRDefault="0010352D" w:rsidP="0010352D">
      <w:pPr>
        <w:pStyle w:val="ListParagraph"/>
        <w:numPr>
          <w:ilvl w:val="0"/>
          <w:numId w:val="1"/>
        </w:numPr>
      </w:pPr>
      <w:proofErr w:type="gramStart"/>
      <w:r>
        <w:t>with</w:t>
      </w:r>
      <w:proofErr w:type="gramEnd"/>
      <w:r>
        <w:t xml:space="preserve"> or without an internal standard.  </w:t>
      </w:r>
    </w:p>
    <w:p w:rsidR="0010352D" w:rsidRDefault="0010352D" w:rsidP="0010352D">
      <w:r>
        <w:t>Justify your answer by describing the characteristics of the situation that lead to your determination.  (You can use these situations as practice, but you are not required to solve the problem for this assignment.  Answers are provided.)</w:t>
      </w:r>
    </w:p>
    <w:p w:rsidR="0010352D" w:rsidRDefault="0010352D" w:rsidP="0010352D"/>
    <w:p w:rsidR="0010352D" w:rsidRDefault="0010352D" w:rsidP="0010352D">
      <w:pPr>
        <w:pStyle w:val="ListParagraph"/>
        <w:numPr>
          <w:ilvl w:val="0"/>
          <w:numId w:val="7"/>
        </w:numPr>
      </w:pPr>
      <w:r>
        <w:t xml:space="preserve">A tonic water sample is diluted 50-fold.  A 3.00 mL aliquot of the diluted tonic water yields a fluorescence intensity of 302.56 </w:t>
      </w:r>
      <w:proofErr w:type="spellStart"/>
      <w:r>
        <w:t>a.u</w:t>
      </w:r>
      <w:proofErr w:type="spellEnd"/>
      <w:r>
        <w:t xml:space="preserve">.  The 3.00 mL diluted tonic water aliquot is spiked with 35 µL of a 52.3 ppm quinine standard solutions.  The spiked solution yields a fluorescence intensity of 434.05 </w:t>
      </w:r>
      <w:proofErr w:type="spellStart"/>
      <w:r>
        <w:t>a.u</w:t>
      </w:r>
      <w:proofErr w:type="spellEnd"/>
      <w:proofErr w:type="gramStart"/>
      <w:r>
        <w:t>..</w:t>
      </w:r>
      <w:proofErr w:type="gramEnd"/>
      <w:r>
        <w:t xml:space="preserve">  Calculate the concentration of quinine in the tonic water.  (answer = 67.6 ppm)</w:t>
      </w:r>
    </w:p>
    <w:p w:rsidR="0010352D" w:rsidRDefault="0010352D" w:rsidP="0010352D">
      <w:pPr>
        <w:pStyle w:val="ListParagraph"/>
      </w:pPr>
    </w:p>
    <w:p w:rsidR="0010352D" w:rsidRDefault="0010352D" w:rsidP="0010352D">
      <w:pPr>
        <w:pStyle w:val="ListParagraph"/>
        <w:numPr>
          <w:ilvl w:val="0"/>
          <w:numId w:val="7"/>
        </w:numPr>
      </w:pPr>
      <w:r>
        <w:t>One method for analyzing volatile compounds is called headspace analysis.  The headspace is the vapor above a liquid or solid sample in a closed container.  An example is the determination of formaldehyde in pharmaceutical excipients.</w:t>
      </w:r>
      <w:r>
        <w:rPr>
          <w:rStyle w:val="FootnoteReference"/>
        </w:rPr>
        <w:footnoteReference w:id="3"/>
      </w:r>
      <w:r>
        <w:t xml:space="preserve">  Formaldehyde is a residual in </w:t>
      </w:r>
      <w:proofErr w:type="spellStart"/>
      <w:r>
        <w:t>h</w:t>
      </w:r>
      <w:r w:rsidRPr="00262D69">
        <w:t>ydroxypropyl</w:t>
      </w:r>
      <w:proofErr w:type="spellEnd"/>
      <w:r w:rsidRPr="00262D69">
        <w:t xml:space="preserve"> methylcellulose</w:t>
      </w:r>
      <w:r>
        <w:t xml:space="preserve">, a binding agent.  A 500 mg sample of </w:t>
      </w:r>
      <w:proofErr w:type="spellStart"/>
      <w:r>
        <w:t>h</w:t>
      </w:r>
      <w:r w:rsidRPr="00262D69">
        <w:t>ydroxypropyl</w:t>
      </w:r>
      <w:proofErr w:type="spellEnd"/>
      <w:r w:rsidRPr="00262D69">
        <w:t xml:space="preserve"> methylcellulose</w:t>
      </w:r>
      <w:r>
        <w:t xml:space="preserve"> is placed into</w:t>
      </w:r>
      <w:r w:rsidRPr="00262D69">
        <w:t xml:space="preserve"> a 20 mL headspace vial and </w:t>
      </w:r>
      <w:r>
        <w:t>dissolved</w:t>
      </w:r>
      <w:r w:rsidRPr="00262D69">
        <w:t xml:space="preserve"> in 5 mL of </w:t>
      </w:r>
      <w:r>
        <w:t>1% p-</w:t>
      </w:r>
      <w:proofErr w:type="spellStart"/>
      <w:r>
        <w:t>toluenesulfonic</w:t>
      </w:r>
      <w:proofErr w:type="spellEnd"/>
      <w:r>
        <w:t xml:space="preserve"> acid in ethanol</w:t>
      </w:r>
      <w:r w:rsidRPr="00262D69">
        <w:t xml:space="preserve">. </w:t>
      </w:r>
      <w:r>
        <w:t>The vial is heated</w:t>
      </w:r>
      <w:r w:rsidRPr="00262D69">
        <w:t xml:space="preserve"> at 60 °C for 15 min under continuous agitation in the headspace </w:t>
      </w:r>
      <w:proofErr w:type="spellStart"/>
      <w:r w:rsidRPr="00262D69">
        <w:t>autosampler</w:t>
      </w:r>
      <w:proofErr w:type="spellEnd"/>
      <w:r>
        <w:t xml:space="preserve">.  Injection of 1.0 mL of the headspace into the GC-MS resulted in a formaldehyde peak with an area of 27843.  Another 500 mg sample of </w:t>
      </w:r>
      <w:proofErr w:type="spellStart"/>
      <w:r>
        <w:t>h</w:t>
      </w:r>
      <w:r w:rsidRPr="00262D69">
        <w:t>ydroxypropyl</w:t>
      </w:r>
      <w:proofErr w:type="spellEnd"/>
      <w:r w:rsidRPr="00262D69">
        <w:t xml:space="preserve"> methylcellulose</w:t>
      </w:r>
      <w:r>
        <w:t xml:space="preserve"> is analyzed under the same conditions, except the sample is spiked with 100 µL of a 50.0 µg/mL formaldehyde standard solution prior to agitation.  The peak area of formaldehyde from the spiked sample was 51045.  Determine the concentration of formaldehyde in the </w:t>
      </w:r>
      <w:proofErr w:type="spellStart"/>
      <w:r>
        <w:t>h</w:t>
      </w:r>
      <w:r w:rsidRPr="00262D69">
        <w:t>ydroxypropyl</w:t>
      </w:r>
      <w:proofErr w:type="spellEnd"/>
      <w:r w:rsidRPr="00262D69">
        <w:t xml:space="preserve"> methylcellulose</w:t>
      </w:r>
      <w:r>
        <w:t xml:space="preserve"> sample in ppm. Note – MS is a mass-sensitive detector, not concentration-sensitive.  (answer = 12.0 ppm)</w:t>
      </w:r>
    </w:p>
    <w:p w:rsidR="0010352D" w:rsidRDefault="0010352D" w:rsidP="0010352D"/>
    <w:p w:rsidR="0010352D" w:rsidRDefault="0010352D" w:rsidP="0010352D">
      <w:pPr>
        <w:pStyle w:val="ListParagraph"/>
        <w:numPr>
          <w:ilvl w:val="0"/>
          <w:numId w:val="7"/>
        </w:numPr>
      </w:pPr>
      <w:r>
        <w:lastRenderedPageBreak/>
        <w:t xml:space="preserve">The concentration of gold in serum was determined. A serum sample (1.00 mL) was transferred to a </w:t>
      </w:r>
      <w:r w:rsidRPr="00A51509">
        <w:t>polypropylene test tube</w:t>
      </w:r>
      <w:r>
        <w:t>. Saturated KMnO</w:t>
      </w:r>
      <w:r w:rsidRPr="001759E5">
        <w:rPr>
          <w:vertAlign w:val="subscript"/>
        </w:rPr>
        <w:t>4</w:t>
      </w:r>
      <w:r>
        <w:t xml:space="preserve"> (1 mL) was added and the solution mixed with a Vortex mixer. </w:t>
      </w:r>
      <w:proofErr w:type="spellStart"/>
      <w:r>
        <w:t>HCl</w:t>
      </w:r>
      <w:proofErr w:type="spellEnd"/>
      <w:r>
        <w:t xml:space="preserve"> (2 mL, 6 M) was added and the solution was allowed to sit for 10 minutes.  The solution was placed in a water bath at approximately 50°C. When the vigor of the chlorine evolution diminished, the temperature of the bath was increased and the solution boiled for 10 minutes. The colorless suspension was cooled to room temperature and 2.00 mL of methyl isobutyl ketone (MIBK) was added. The vial was capped and vigorously shaken for 2 minutes. The MIBK layer, which contained the gold, was separated from the aqueous layer and analyzed with graphite furnace atomic absorption spectroscopy.  The absorbance of the solution of 0.415.  The procedure was repeated using 1.00 mL of serum spiked with 100 µL of a 25.0 µg/L Au standard solution.  The absorbance of the resulting MIBK layer was 0.528.  Calculate the concentration of Au in the serum sample in µg/L. (answer = 9.18 µg/L)</w:t>
      </w:r>
    </w:p>
    <w:p w:rsidR="0010352D" w:rsidRDefault="0010352D" w:rsidP="0010352D"/>
    <w:p w:rsidR="0010352D" w:rsidRPr="00B67F6B" w:rsidRDefault="0010352D" w:rsidP="0010352D">
      <w:r>
        <w:rPr>
          <w:b/>
        </w:rPr>
        <w:t>Part 2</w:t>
      </w:r>
      <w:r w:rsidRPr="009E3073">
        <w:rPr>
          <w:b/>
        </w:rPr>
        <w:t>.</w:t>
      </w:r>
      <w:r>
        <w:t xml:space="preserve">  </w:t>
      </w:r>
      <w:r w:rsidRPr="00B67F6B">
        <w:t xml:space="preserve">The following procedure was used to quantify the amount of </w:t>
      </w:r>
      <w:r>
        <w:t>quinine in commercial tonic water.</w:t>
      </w:r>
    </w:p>
    <w:p w:rsidR="0010352D" w:rsidRDefault="0010352D" w:rsidP="0010352D"/>
    <w:p w:rsidR="0010352D" w:rsidRPr="00AB386D" w:rsidRDefault="0010352D" w:rsidP="0010352D">
      <w:pPr>
        <w:rPr>
          <w:i/>
        </w:rPr>
      </w:pPr>
      <w:r w:rsidRPr="00AB386D">
        <w:rPr>
          <w:i/>
        </w:rPr>
        <w:t>Procedure</w:t>
      </w:r>
    </w:p>
    <w:p w:rsidR="0010352D" w:rsidRDefault="0010352D" w:rsidP="0010352D">
      <w:pPr>
        <w:numPr>
          <w:ilvl w:val="0"/>
          <w:numId w:val="5"/>
        </w:numPr>
      </w:pPr>
      <w:r>
        <w:t>Prepare three tonic water samples by transferring 2.00 mL of tonic water by pipet to each of three 100-mL volumetric flasks and dilute each to the mark with 0.10 M H</w:t>
      </w:r>
      <w:r w:rsidRPr="00C109B3">
        <w:rPr>
          <w:vertAlign w:val="subscript"/>
        </w:rPr>
        <w:t>2</w:t>
      </w:r>
      <w:r>
        <w:t>SO</w:t>
      </w:r>
      <w:r w:rsidRPr="00C109B3">
        <w:rPr>
          <w:vertAlign w:val="subscript"/>
        </w:rPr>
        <w:t>4</w:t>
      </w:r>
      <w:r>
        <w:t>.  Mix well.</w:t>
      </w:r>
    </w:p>
    <w:p w:rsidR="0010352D" w:rsidRDefault="0010352D" w:rsidP="0010352D">
      <w:pPr>
        <w:numPr>
          <w:ilvl w:val="0"/>
          <w:numId w:val="5"/>
        </w:numPr>
      </w:pPr>
      <w:r>
        <w:t xml:space="preserve">Transfer 3.00 mL of a tonic water sample by pipet into a fluorescence cuvette and place it in the spectrometer.  Acquire the fluorescence spectrum and record the fluorescence intensity at the peak maximum. </w:t>
      </w:r>
    </w:p>
    <w:p w:rsidR="0010352D" w:rsidRDefault="0010352D" w:rsidP="0010352D">
      <w:pPr>
        <w:numPr>
          <w:ilvl w:val="0"/>
          <w:numId w:val="5"/>
        </w:numPr>
      </w:pPr>
      <w:r>
        <w:t>Add 0.035 mL of a 52.3 ppm quinine stock solution to the sample cuvette.  Mix the sample solution with a disposable pipette by drawing in the solution and expelling it.  Acquire the fluorescence spectrum and record the fluorescence intensity.</w:t>
      </w:r>
    </w:p>
    <w:p w:rsidR="0010352D" w:rsidRDefault="0010352D" w:rsidP="0010352D">
      <w:pPr>
        <w:numPr>
          <w:ilvl w:val="0"/>
          <w:numId w:val="5"/>
        </w:numPr>
      </w:pPr>
      <w:r>
        <w:t>Repeat step 3 until 5 standard additions have been made.</w:t>
      </w:r>
    </w:p>
    <w:p w:rsidR="0010352D" w:rsidRDefault="0010352D" w:rsidP="0010352D">
      <w:pPr>
        <w:numPr>
          <w:ilvl w:val="0"/>
          <w:numId w:val="5"/>
        </w:numPr>
      </w:pPr>
      <w:r>
        <w:t>Remove the cuvette from the spectrometer and thoroughly rinse it with DI water.</w:t>
      </w:r>
    </w:p>
    <w:p w:rsidR="0010352D" w:rsidRDefault="0010352D" w:rsidP="0010352D">
      <w:pPr>
        <w:numPr>
          <w:ilvl w:val="0"/>
          <w:numId w:val="5"/>
        </w:numPr>
      </w:pPr>
      <w:r>
        <w:t>Repeat with the other two tonic water samples.</w:t>
      </w:r>
    </w:p>
    <w:p w:rsidR="0010352D" w:rsidRDefault="0010352D" w:rsidP="0010352D"/>
    <w:p w:rsidR="0010352D" w:rsidRPr="001D2539" w:rsidRDefault="0010352D" w:rsidP="0010352D">
      <w:pPr>
        <w:rPr>
          <w:b/>
        </w:rPr>
      </w:pPr>
      <w:r w:rsidRPr="001D2539">
        <w:rPr>
          <w:b/>
        </w:rPr>
        <w:t>Data</w:t>
      </w:r>
    </w:p>
    <w:p w:rsidR="0010352D" w:rsidRDefault="0010352D" w:rsidP="0010352D">
      <w:r>
        <w:t>The following data were acquired:</w:t>
      </w:r>
    </w:p>
    <w:p w:rsidR="0010352D" w:rsidRDefault="0010352D" w:rsidP="0010352D"/>
    <w:tbl>
      <w:tblPr>
        <w:tblW w:w="5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260"/>
        <w:gridCol w:w="1260"/>
        <w:gridCol w:w="1294"/>
      </w:tblGrid>
      <w:tr w:rsidR="0010352D" w:rsidRPr="00B67F6B" w:rsidTr="00C32DD7">
        <w:trPr>
          <w:trHeight w:val="350"/>
          <w:jc w:val="center"/>
        </w:trPr>
        <w:tc>
          <w:tcPr>
            <w:tcW w:w="1255" w:type="dxa"/>
            <w:vMerge w:val="restart"/>
            <w:shd w:val="clear" w:color="auto" w:fill="auto"/>
            <w:noWrap/>
            <w:vAlign w:val="center"/>
            <w:hideMark/>
          </w:tcPr>
          <w:p w:rsidR="0010352D" w:rsidRPr="00B67F6B" w:rsidRDefault="0010352D" w:rsidP="00C32DD7">
            <w:pPr>
              <w:jc w:val="center"/>
              <w:rPr>
                <w:rFonts w:eastAsia="Times New Roman"/>
                <w:b/>
                <w:szCs w:val="20"/>
              </w:rPr>
            </w:pPr>
            <w:r w:rsidRPr="00B67F6B">
              <w:rPr>
                <w:rFonts w:eastAsia="Times New Roman"/>
                <w:b/>
                <w:szCs w:val="20"/>
              </w:rPr>
              <w:t>mL quinine</w:t>
            </w:r>
          </w:p>
        </w:tc>
        <w:tc>
          <w:tcPr>
            <w:tcW w:w="3814" w:type="dxa"/>
            <w:gridSpan w:val="3"/>
            <w:shd w:val="clear" w:color="auto" w:fill="auto"/>
            <w:noWrap/>
            <w:vAlign w:val="center"/>
            <w:hideMark/>
          </w:tcPr>
          <w:p w:rsidR="0010352D" w:rsidRPr="00B67F6B" w:rsidRDefault="0010352D" w:rsidP="00C32DD7">
            <w:pPr>
              <w:jc w:val="center"/>
              <w:rPr>
                <w:rFonts w:eastAsia="Times New Roman"/>
                <w:b/>
                <w:szCs w:val="20"/>
              </w:rPr>
            </w:pPr>
            <w:r w:rsidRPr="00B67F6B">
              <w:rPr>
                <w:rFonts w:eastAsia="Times New Roman"/>
                <w:b/>
                <w:szCs w:val="20"/>
              </w:rPr>
              <w:t>Intensity</w:t>
            </w:r>
          </w:p>
        </w:tc>
      </w:tr>
      <w:tr w:rsidR="0010352D" w:rsidRPr="00B67F6B" w:rsidTr="00C32DD7">
        <w:trPr>
          <w:trHeight w:val="350"/>
          <w:jc w:val="center"/>
        </w:trPr>
        <w:tc>
          <w:tcPr>
            <w:tcW w:w="1255" w:type="dxa"/>
            <w:vMerge/>
            <w:vAlign w:val="center"/>
            <w:hideMark/>
          </w:tcPr>
          <w:p w:rsidR="0010352D" w:rsidRPr="00B67F6B" w:rsidRDefault="0010352D" w:rsidP="00C32DD7">
            <w:pPr>
              <w:jc w:val="center"/>
              <w:rPr>
                <w:rFonts w:eastAsia="Times New Roman"/>
                <w:b/>
                <w:szCs w:val="20"/>
              </w:rPr>
            </w:pPr>
          </w:p>
        </w:tc>
        <w:tc>
          <w:tcPr>
            <w:tcW w:w="1260" w:type="dxa"/>
            <w:shd w:val="clear" w:color="auto" w:fill="auto"/>
            <w:noWrap/>
            <w:vAlign w:val="center"/>
            <w:hideMark/>
          </w:tcPr>
          <w:p w:rsidR="0010352D" w:rsidRPr="00B67F6B" w:rsidRDefault="0010352D" w:rsidP="00C32DD7">
            <w:pPr>
              <w:jc w:val="center"/>
              <w:rPr>
                <w:rFonts w:eastAsia="Times New Roman"/>
                <w:b/>
                <w:szCs w:val="20"/>
              </w:rPr>
            </w:pPr>
            <w:r w:rsidRPr="00B67F6B">
              <w:rPr>
                <w:rFonts w:eastAsia="Times New Roman"/>
                <w:b/>
                <w:szCs w:val="20"/>
              </w:rPr>
              <w:t>Trial 1</w:t>
            </w:r>
          </w:p>
        </w:tc>
        <w:tc>
          <w:tcPr>
            <w:tcW w:w="1260" w:type="dxa"/>
            <w:shd w:val="clear" w:color="auto" w:fill="auto"/>
            <w:noWrap/>
            <w:vAlign w:val="center"/>
            <w:hideMark/>
          </w:tcPr>
          <w:p w:rsidR="0010352D" w:rsidRPr="00B67F6B" w:rsidRDefault="0010352D" w:rsidP="00C32DD7">
            <w:pPr>
              <w:jc w:val="center"/>
              <w:rPr>
                <w:rFonts w:eastAsia="Times New Roman"/>
                <w:b/>
                <w:szCs w:val="20"/>
              </w:rPr>
            </w:pPr>
            <w:r w:rsidRPr="00B67F6B">
              <w:rPr>
                <w:rFonts w:eastAsia="Times New Roman"/>
                <w:b/>
                <w:szCs w:val="20"/>
              </w:rPr>
              <w:t>Trial 2</w:t>
            </w:r>
          </w:p>
        </w:tc>
        <w:tc>
          <w:tcPr>
            <w:tcW w:w="1294" w:type="dxa"/>
            <w:shd w:val="clear" w:color="auto" w:fill="auto"/>
            <w:noWrap/>
            <w:vAlign w:val="center"/>
            <w:hideMark/>
          </w:tcPr>
          <w:p w:rsidR="0010352D" w:rsidRPr="00B67F6B" w:rsidRDefault="0010352D" w:rsidP="00C32DD7">
            <w:pPr>
              <w:jc w:val="center"/>
              <w:rPr>
                <w:rFonts w:eastAsia="Times New Roman"/>
                <w:b/>
                <w:szCs w:val="20"/>
              </w:rPr>
            </w:pPr>
            <w:r w:rsidRPr="00B67F6B">
              <w:rPr>
                <w:rFonts w:eastAsia="Times New Roman"/>
                <w:b/>
                <w:szCs w:val="20"/>
              </w:rPr>
              <w:t>Trial 3</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w:t>
            </w:r>
            <w:r>
              <w:rPr>
                <w:rFonts w:eastAsia="Times New Roman"/>
                <w:szCs w:val="20"/>
              </w:rPr>
              <w:t>.000</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302.56</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298.42</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294.74</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0.035</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434.05</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421.77</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418.86</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0.07</w:t>
            </w:r>
            <w:r>
              <w:rPr>
                <w:rFonts w:eastAsia="Times New Roman"/>
                <w:szCs w:val="20"/>
              </w:rPr>
              <w:t>0</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549.70</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542.78</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529.83</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0.105</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665.39</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649.24</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646.64</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0.14</w:t>
            </w:r>
            <w:r>
              <w:rPr>
                <w:rFonts w:eastAsia="Times New Roman"/>
                <w:szCs w:val="20"/>
              </w:rPr>
              <w:t>0</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768.66</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757.93</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753.56</w:t>
            </w:r>
          </w:p>
        </w:tc>
      </w:tr>
      <w:tr w:rsidR="0010352D" w:rsidRPr="00B67F6B" w:rsidTr="00C32DD7">
        <w:trPr>
          <w:trHeight w:val="350"/>
          <w:jc w:val="center"/>
        </w:trPr>
        <w:tc>
          <w:tcPr>
            <w:tcW w:w="1255"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0.175</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870.26</w:t>
            </w:r>
          </w:p>
        </w:tc>
        <w:tc>
          <w:tcPr>
            <w:tcW w:w="1260"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858.85</w:t>
            </w:r>
          </w:p>
        </w:tc>
        <w:tc>
          <w:tcPr>
            <w:tcW w:w="1294" w:type="dxa"/>
            <w:shd w:val="clear" w:color="auto" w:fill="auto"/>
            <w:noWrap/>
            <w:vAlign w:val="center"/>
            <w:hideMark/>
          </w:tcPr>
          <w:p w:rsidR="0010352D" w:rsidRPr="00B67F6B" w:rsidRDefault="0010352D" w:rsidP="00C32DD7">
            <w:pPr>
              <w:jc w:val="center"/>
              <w:rPr>
                <w:rFonts w:eastAsia="Times New Roman"/>
                <w:szCs w:val="20"/>
              </w:rPr>
            </w:pPr>
            <w:r w:rsidRPr="00B67F6B">
              <w:rPr>
                <w:rFonts w:eastAsia="Times New Roman"/>
                <w:szCs w:val="20"/>
              </w:rPr>
              <w:t>858.85</w:t>
            </w:r>
          </w:p>
        </w:tc>
      </w:tr>
    </w:tbl>
    <w:p w:rsidR="0010352D" w:rsidRDefault="0010352D" w:rsidP="0010352D"/>
    <w:p w:rsidR="000C104C" w:rsidRDefault="000C104C" w:rsidP="0010352D">
      <w:pPr>
        <w:rPr>
          <w:b/>
        </w:rPr>
      </w:pPr>
    </w:p>
    <w:p w:rsidR="000C104C" w:rsidRDefault="000C104C" w:rsidP="0010352D">
      <w:pPr>
        <w:rPr>
          <w:b/>
        </w:rPr>
      </w:pPr>
    </w:p>
    <w:p w:rsidR="0010352D" w:rsidRPr="00F27134" w:rsidRDefault="0010352D" w:rsidP="0010352D">
      <w:pPr>
        <w:rPr>
          <w:b/>
        </w:rPr>
      </w:pPr>
      <w:r w:rsidRPr="00F27134">
        <w:rPr>
          <w:b/>
        </w:rPr>
        <w:lastRenderedPageBreak/>
        <w:t>Data Analysis</w:t>
      </w:r>
    </w:p>
    <w:p w:rsidR="0010352D" w:rsidRDefault="0010352D" w:rsidP="0010352D">
      <w:pPr>
        <w:numPr>
          <w:ilvl w:val="0"/>
          <w:numId w:val="6"/>
        </w:numPr>
        <w:spacing w:after="120"/>
      </w:pPr>
      <w:r>
        <w:t>Calculate the ppm of quinine in tonic water.  Report the average, standard deviation and 95% CI. (answer = 75.8 ± 1.5 ppm, 75.8 ± 3.8 ppm)</w:t>
      </w:r>
    </w:p>
    <w:p w:rsidR="0010352D" w:rsidRDefault="0010352D" w:rsidP="0010352D">
      <w:pPr>
        <w:numPr>
          <w:ilvl w:val="0"/>
          <w:numId w:val="6"/>
        </w:numPr>
        <w:spacing w:after="120"/>
      </w:pPr>
      <w:r>
        <w:t>The Food and Drug Administration limits the amount of quinine in tonic water to 83 ppm.  Is the commercial tonic water below the limit?</w:t>
      </w:r>
    </w:p>
    <w:p w:rsidR="0010352D" w:rsidRDefault="0010352D" w:rsidP="0010352D">
      <w:pPr>
        <w:rPr>
          <w:b/>
        </w:rPr>
      </w:pPr>
      <w:r>
        <w:rPr>
          <w:b/>
        </w:rPr>
        <w:t xml:space="preserve">Standard Addition – Continued </w:t>
      </w:r>
    </w:p>
    <w:p w:rsidR="0010352D" w:rsidRDefault="0010352D" w:rsidP="0010352D"/>
    <w:p w:rsidR="0010352D" w:rsidRDefault="0010352D" w:rsidP="0010352D">
      <w:r>
        <w:t>Learning Objectives – After completing this exercise, students will be able to:</w:t>
      </w:r>
    </w:p>
    <w:p w:rsidR="0010352D" w:rsidRDefault="0010352D" w:rsidP="0010352D">
      <w:pPr>
        <w:pStyle w:val="ListParagraph"/>
        <w:numPr>
          <w:ilvl w:val="0"/>
          <w:numId w:val="1"/>
        </w:numPr>
      </w:pPr>
      <w:r>
        <w:t>Generate a standard addition plot.</w:t>
      </w:r>
    </w:p>
    <w:p w:rsidR="0010352D" w:rsidRDefault="0010352D" w:rsidP="0010352D">
      <w:pPr>
        <w:pStyle w:val="ListParagraph"/>
        <w:numPr>
          <w:ilvl w:val="0"/>
          <w:numId w:val="1"/>
        </w:numPr>
      </w:pPr>
      <w:r>
        <w:t>Use a standard addition plot to determine the amount of unknown analyte in a sample.</w:t>
      </w:r>
    </w:p>
    <w:p w:rsidR="0010352D" w:rsidRDefault="0010352D" w:rsidP="0010352D">
      <w:pPr>
        <w:pStyle w:val="ListParagraph"/>
        <w:numPr>
          <w:ilvl w:val="0"/>
          <w:numId w:val="1"/>
        </w:numPr>
      </w:pPr>
      <w:r>
        <w:t>Describe when an internal standard is needed in a quantitative analysis.</w:t>
      </w:r>
    </w:p>
    <w:p w:rsidR="0010352D" w:rsidRDefault="0010352D" w:rsidP="0010352D">
      <w:pPr>
        <w:pStyle w:val="ListParagraph"/>
        <w:numPr>
          <w:ilvl w:val="0"/>
          <w:numId w:val="1"/>
        </w:numPr>
      </w:pPr>
      <w:r>
        <w:t xml:space="preserve">Determine the amount of </w:t>
      </w:r>
      <w:proofErr w:type="spellStart"/>
      <w:r>
        <w:t>unkown</w:t>
      </w:r>
      <w:proofErr w:type="spellEnd"/>
      <w:r>
        <w:t xml:space="preserve"> in a sample in the presence of an internal standard.</w:t>
      </w:r>
    </w:p>
    <w:p w:rsidR="0010352D" w:rsidRDefault="0010352D" w:rsidP="0010352D"/>
    <w:p w:rsidR="0010352D" w:rsidRPr="00421E52" w:rsidRDefault="0010352D" w:rsidP="0010352D">
      <w:pPr>
        <w:pStyle w:val="ListParagraph"/>
        <w:numPr>
          <w:ilvl w:val="0"/>
          <w:numId w:val="8"/>
        </w:numPr>
      </w:pPr>
      <w:r w:rsidRPr="00421E52">
        <w:t xml:space="preserve">To determine the concentration of analyte in a sample, a standard addition was performed. A 5.00-mL portion of sample was analyzed and then successive 0.10-mL spikes of a 600.0-mg/L standard of the analyte were added, analyzing after each spike. The following table shows the results of this analysis. </w:t>
      </w:r>
    </w:p>
    <w:p w:rsidR="0010352D" w:rsidRPr="00421E52" w:rsidRDefault="0010352D" w:rsidP="0010352D">
      <w:pPr>
        <w:pStyle w:val="ListParagraph"/>
      </w:pPr>
      <w:r w:rsidRPr="00421E52">
        <w:tab/>
      </w:r>
      <w:proofErr w:type="spellStart"/>
      <w:r w:rsidRPr="00421E52">
        <w:rPr>
          <w:i/>
        </w:rPr>
        <w:t>V</w:t>
      </w:r>
      <w:r w:rsidRPr="00421E52">
        <w:rPr>
          <w:i/>
          <w:vertAlign w:val="subscript"/>
        </w:rPr>
        <w:t>spike</w:t>
      </w:r>
      <w:proofErr w:type="spellEnd"/>
      <w:r w:rsidRPr="00421E52">
        <w:t xml:space="preserve"> (mL): 0.00 0.10 0.20 0.30 </w:t>
      </w:r>
    </w:p>
    <w:p w:rsidR="0010352D" w:rsidRPr="00421E52" w:rsidRDefault="0010352D" w:rsidP="0010352D">
      <w:pPr>
        <w:pStyle w:val="ListParagraph"/>
      </w:pPr>
      <w:r w:rsidRPr="00421E52">
        <w:tab/>
      </w:r>
      <w:proofErr w:type="spellStart"/>
      <w:r w:rsidRPr="00421E52">
        <w:rPr>
          <w:i/>
        </w:rPr>
        <w:t>S</w:t>
      </w:r>
      <w:r w:rsidRPr="00421E52">
        <w:rPr>
          <w:i/>
          <w:vertAlign w:val="subscript"/>
        </w:rPr>
        <w:t>total</w:t>
      </w:r>
      <w:proofErr w:type="spellEnd"/>
      <w:r w:rsidRPr="00421E52">
        <w:rPr>
          <w:vertAlign w:val="subscript"/>
        </w:rPr>
        <w:t xml:space="preserve"> </w:t>
      </w:r>
      <w:r w:rsidRPr="00421E52">
        <w:t xml:space="preserve">(arbitrary units): 0.119 0.231 0.339 0.442 </w:t>
      </w:r>
    </w:p>
    <w:p w:rsidR="0010352D" w:rsidRDefault="0010352D" w:rsidP="0010352D">
      <w:pPr>
        <w:pStyle w:val="ListParagraph"/>
      </w:pPr>
      <w:r w:rsidRPr="00421E52">
        <w:t>Construct an appropriate standard addition plot and use a linear regression analysis to determine the concentration of analyte in the original sample.</w:t>
      </w:r>
      <w:r w:rsidR="00FC44A8">
        <w:rPr>
          <w:rStyle w:val="FootnoteReference"/>
        </w:rPr>
        <w:footnoteReference w:id="4"/>
      </w:r>
      <w:r>
        <w:t xml:space="preserve"> (</w:t>
      </w:r>
      <w:proofErr w:type="gramStart"/>
      <w:r>
        <w:t>answer</w:t>
      </w:r>
      <w:proofErr w:type="gramEnd"/>
      <w:r>
        <w:t xml:space="preserve"> = 12.3 ppm)</w:t>
      </w:r>
    </w:p>
    <w:p w:rsidR="0010352D" w:rsidRDefault="0010352D" w:rsidP="0010352D"/>
    <w:p w:rsidR="0010352D" w:rsidRDefault="0010352D" w:rsidP="0010352D">
      <w:pPr>
        <w:pStyle w:val="ListParagraph"/>
        <w:numPr>
          <w:ilvl w:val="0"/>
          <w:numId w:val="8"/>
        </w:numPr>
      </w:pPr>
      <w:proofErr w:type="gramStart"/>
      <w:r>
        <w:t>Mercury(</w:t>
      </w:r>
      <w:proofErr w:type="gramEnd"/>
      <w:r>
        <w:t>II) can be determined by measuring the absorbance of the complex between Hg</w:t>
      </w:r>
      <w:r w:rsidRPr="00707513">
        <w:rPr>
          <w:vertAlign w:val="superscript"/>
        </w:rPr>
        <w:t>2+</w:t>
      </w:r>
      <w:r>
        <w:t xml:space="preserve"> and the complexing agent TTC.  The Hg</w:t>
      </w:r>
      <w:r w:rsidRPr="00707513">
        <w:rPr>
          <w:vertAlign w:val="superscript"/>
        </w:rPr>
        <w:t>2+</w:t>
      </w:r>
      <w:r>
        <w:t xml:space="preserve"> in a 5.12 g soil sample was extracted into organic solvent containing excess TTC, and the resulting solution was diluted to 100.0 mL in a volumetric flask.  Five-mL aliquots of the analyte solution were transferred to six 25-mL volumetric flasks.  Various volume of a 5.00 x 10</w:t>
      </w:r>
      <w:r w:rsidRPr="00707513">
        <w:rPr>
          <w:vertAlign w:val="superscript"/>
        </w:rPr>
        <w:t>-6</w:t>
      </w:r>
      <w:r>
        <w:t xml:space="preserve"> M Hg</w:t>
      </w:r>
      <w:r w:rsidRPr="00707513">
        <w:rPr>
          <w:vertAlign w:val="superscript"/>
        </w:rPr>
        <w:t>2+</w:t>
      </w:r>
      <w:r>
        <w:t xml:space="preserve"> standard solution was added to each flask and diluted to volume.  The absorbance of each solution was measured at 255 nm in 1.00 cm quartz cells.  Calculate the ppm of Hg</w:t>
      </w:r>
      <w:r w:rsidRPr="00707513">
        <w:rPr>
          <w:vertAlign w:val="superscript"/>
        </w:rPr>
        <w:t>2+</w:t>
      </w:r>
      <w:r>
        <w:t xml:space="preserve"> in the soil sample.</w:t>
      </w:r>
      <w:r w:rsidR="0095571E">
        <w:rPr>
          <w:rStyle w:val="FootnoteReference"/>
        </w:rPr>
        <w:footnoteReference w:id="5"/>
      </w:r>
      <w:r>
        <w:t xml:space="preserve"> (answer = 41.3 ppm)</w:t>
      </w:r>
    </w:p>
    <w:p w:rsidR="0010352D" w:rsidRDefault="0010352D" w:rsidP="0010352D">
      <w:pPr>
        <w:pStyle w:val="ListParagraph"/>
      </w:pPr>
    </w:p>
    <w:tbl>
      <w:tblPr>
        <w:tblStyle w:val="TableGrid"/>
        <w:tblW w:w="0" w:type="auto"/>
        <w:jc w:val="center"/>
        <w:tblLook w:val="04A0" w:firstRow="1" w:lastRow="0" w:firstColumn="1" w:lastColumn="0" w:noHBand="0" w:noVBand="1"/>
      </w:tblPr>
      <w:tblGrid>
        <w:gridCol w:w="1981"/>
        <w:gridCol w:w="1994"/>
      </w:tblGrid>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b/>
                <w:sz w:val="20"/>
              </w:rPr>
            </w:pPr>
            <w:r w:rsidRPr="00707513">
              <w:rPr>
                <w:b/>
                <w:sz w:val="20"/>
              </w:rPr>
              <w:t>Volume of Standard Solution (mL)</w:t>
            </w:r>
          </w:p>
        </w:tc>
        <w:tc>
          <w:tcPr>
            <w:tcW w:w="1994" w:type="dxa"/>
            <w:vAlign w:val="center"/>
          </w:tcPr>
          <w:p w:rsidR="0010352D" w:rsidRPr="00707513" w:rsidRDefault="0010352D" w:rsidP="00C32DD7">
            <w:pPr>
              <w:pStyle w:val="ListParagraph"/>
              <w:ind w:left="0"/>
              <w:jc w:val="center"/>
              <w:rPr>
                <w:b/>
                <w:sz w:val="20"/>
              </w:rPr>
            </w:pPr>
            <w:r w:rsidRPr="00707513">
              <w:rPr>
                <w:b/>
                <w:sz w:val="20"/>
              </w:rPr>
              <w:t>Absorbance at 255 nm</w:t>
            </w:r>
          </w:p>
        </w:tc>
      </w:tr>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sz w:val="20"/>
              </w:rPr>
            </w:pPr>
            <w:r w:rsidRPr="00707513">
              <w:rPr>
                <w:sz w:val="20"/>
              </w:rPr>
              <w:t>0.00</w:t>
            </w:r>
          </w:p>
        </w:tc>
        <w:tc>
          <w:tcPr>
            <w:tcW w:w="1994" w:type="dxa"/>
            <w:vAlign w:val="center"/>
          </w:tcPr>
          <w:p w:rsidR="0010352D" w:rsidRPr="00707513" w:rsidRDefault="0010352D" w:rsidP="00C32DD7">
            <w:pPr>
              <w:pStyle w:val="ListParagraph"/>
              <w:ind w:left="0"/>
              <w:jc w:val="center"/>
              <w:rPr>
                <w:sz w:val="20"/>
              </w:rPr>
            </w:pPr>
            <w:r w:rsidRPr="00707513">
              <w:rPr>
                <w:sz w:val="20"/>
              </w:rPr>
              <w:t>0.582</w:t>
            </w:r>
          </w:p>
        </w:tc>
      </w:tr>
      <w:tr w:rsidR="0010352D" w:rsidRPr="00707513" w:rsidTr="00C32DD7">
        <w:trPr>
          <w:trHeight w:val="268"/>
          <w:jc w:val="center"/>
        </w:trPr>
        <w:tc>
          <w:tcPr>
            <w:tcW w:w="1981" w:type="dxa"/>
            <w:vAlign w:val="center"/>
          </w:tcPr>
          <w:p w:rsidR="0010352D" w:rsidRPr="00707513" w:rsidRDefault="0010352D" w:rsidP="00C32DD7">
            <w:pPr>
              <w:pStyle w:val="ListParagraph"/>
              <w:ind w:left="0"/>
              <w:jc w:val="center"/>
              <w:rPr>
                <w:sz w:val="20"/>
              </w:rPr>
            </w:pPr>
            <w:r w:rsidRPr="00707513">
              <w:rPr>
                <w:sz w:val="20"/>
              </w:rPr>
              <w:t>2.00</w:t>
            </w:r>
          </w:p>
        </w:tc>
        <w:tc>
          <w:tcPr>
            <w:tcW w:w="1994" w:type="dxa"/>
            <w:vAlign w:val="center"/>
          </w:tcPr>
          <w:p w:rsidR="0010352D" w:rsidRPr="00707513" w:rsidRDefault="0010352D" w:rsidP="00C32DD7">
            <w:pPr>
              <w:pStyle w:val="ListParagraph"/>
              <w:ind w:left="0"/>
              <w:jc w:val="center"/>
              <w:rPr>
                <w:sz w:val="20"/>
              </w:rPr>
            </w:pPr>
            <w:r w:rsidRPr="00707513">
              <w:rPr>
                <w:sz w:val="20"/>
              </w:rPr>
              <w:t>0.689</w:t>
            </w:r>
          </w:p>
        </w:tc>
      </w:tr>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sz w:val="20"/>
              </w:rPr>
            </w:pPr>
            <w:r w:rsidRPr="00707513">
              <w:rPr>
                <w:sz w:val="20"/>
              </w:rPr>
              <w:t>4.00</w:t>
            </w:r>
          </w:p>
        </w:tc>
        <w:tc>
          <w:tcPr>
            <w:tcW w:w="1994" w:type="dxa"/>
            <w:vAlign w:val="center"/>
          </w:tcPr>
          <w:p w:rsidR="0010352D" w:rsidRPr="00707513" w:rsidRDefault="0010352D" w:rsidP="00C32DD7">
            <w:pPr>
              <w:pStyle w:val="ListParagraph"/>
              <w:ind w:left="0"/>
              <w:jc w:val="center"/>
              <w:rPr>
                <w:sz w:val="20"/>
              </w:rPr>
            </w:pPr>
            <w:r w:rsidRPr="00707513">
              <w:rPr>
                <w:sz w:val="20"/>
              </w:rPr>
              <w:t>0.767</w:t>
            </w:r>
          </w:p>
        </w:tc>
      </w:tr>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sz w:val="20"/>
              </w:rPr>
            </w:pPr>
            <w:r w:rsidRPr="00707513">
              <w:rPr>
                <w:sz w:val="20"/>
              </w:rPr>
              <w:t>6.00</w:t>
            </w:r>
          </w:p>
        </w:tc>
        <w:tc>
          <w:tcPr>
            <w:tcW w:w="1994" w:type="dxa"/>
            <w:vAlign w:val="center"/>
          </w:tcPr>
          <w:p w:rsidR="0010352D" w:rsidRPr="00707513" w:rsidRDefault="0010352D" w:rsidP="00C32DD7">
            <w:pPr>
              <w:pStyle w:val="ListParagraph"/>
              <w:ind w:left="0"/>
              <w:jc w:val="center"/>
              <w:rPr>
                <w:sz w:val="20"/>
              </w:rPr>
            </w:pPr>
            <w:r w:rsidRPr="00707513">
              <w:rPr>
                <w:sz w:val="20"/>
              </w:rPr>
              <w:t>0.869</w:t>
            </w:r>
          </w:p>
        </w:tc>
      </w:tr>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sz w:val="20"/>
              </w:rPr>
            </w:pPr>
            <w:r w:rsidRPr="00707513">
              <w:rPr>
                <w:sz w:val="20"/>
              </w:rPr>
              <w:t>8.00</w:t>
            </w:r>
          </w:p>
        </w:tc>
        <w:tc>
          <w:tcPr>
            <w:tcW w:w="1994" w:type="dxa"/>
            <w:vAlign w:val="center"/>
          </w:tcPr>
          <w:p w:rsidR="0010352D" w:rsidRPr="00707513" w:rsidRDefault="0010352D" w:rsidP="00C32DD7">
            <w:pPr>
              <w:pStyle w:val="ListParagraph"/>
              <w:ind w:left="0"/>
              <w:jc w:val="center"/>
              <w:rPr>
                <w:sz w:val="20"/>
              </w:rPr>
            </w:pPr>
            <w:r w:rsidRPr="00707513">
              <w:rPr>
                <w:sz w:val="20"/>
              </w:rPr>
              <w:t>1.009</w:t>
            </w:r>
          </w:p>
        </w:tc>
      </w:tr>
      <w:tr w:rsidR="0010352D" w:rsidRPr="00707513" w:rsidTr="00C32DD7">
        <w:trPr>
          <w:trHeight w:val="279"/>
          <w:jc w:val="center"/>
        </w:trPr>
        <w:tc>
          <w:tcPr>
            <w:tcW w:w="1981" w:type="dxa"/>
            <w:vAlign w:val="center"/>
          </w:tcPr>
          <w:p w:rsidR="0010352D" w:rsidRPr="00707513" w:rsidRDefault="0010352D" w:rsidP="00C32DD7">
            <w:pPr>
              <w:pStyle w:val="ListParagraph"/>
              <w:ind w:left="0"/>
              <w:jc w:val="center"/>
              <w:rPr>
                <w:sz w:val="20"/>
              </w:rPr>
            </w:pPr>
            <w:r w:rsidRPr="00707513">
              <w:rPr>
                <w:sz w:val="20"/>
              </w:rPr>
              <w:t>10.00</w:t>
            </w:r>
          </w:p>
        </w:tc>
        <w:tc>
          <w:tcPr>
            <w:tcW w:w="1994" w:type="dxa"/>
            <w:vAlign w:val="center"/>
          </w:tcPr>
          <w:p w:rsidR="0010352D" w:rsidRPr="00707513" w:rsidRDefault="0010352D" w:rsidP="00C32DD7">
            <w:pPr>
              <w:pStyle w:val="ListParagraph"/>
              <w:ind w:left="0"/>
              <w:jc w:val="center"/>
              <w:rPr>
                <w:sz w:val="20"/>
              </w:rPr>
            </w:pPr>
            <w:r w:rsidRPr="00707513">
              <w:rPr>
                <w:sz w:val="20"/>
              </w:rPr>
              <w:t>1.127</w:t>
            </w:r>
          </w:p>
        </w:tc>
      </w:tr>
    </w:tbl>
    <w:p w:rsidR="0010352D" w:rsidRDefault="0010352D" w:rsidP="0010352D">
      <w:pPr>
        <w:pStyle w:val="ListParagraph"/>
      </w:pPr>
    </w:p>
    <w:p w:rsidR="0010352D" w:rsidRDefault="0010352D" w:rsidP="0010352D"/>
    <w:p w:rsidR="0010352D" w:rsidRPr="00421E52" w:rsidRDefault="0010352D" w:rsidP="0010352D"/>
    <w:p w:rsidR="0010352D" w:rsidRDefault="0010352D" w:rsidP="0010352D">
      <w:pPr>
        <w:pStyle w:val="ListParagraph"/>
        <w:numPr>
          <w:ilvl w:val="0"/>
          <w:numId w:val="8"/>
        </w:numPr>
      </w:pPr>
      <w:r>
        <w:t>In the flame emission determination of sodium, lithium is often added as an internal standard.  The following emission intensity data were obtained for solutions containing Na</w:t>
      </w:r>
      <w:r w:rsidRPr="00421E52">
        <w:rPr>
          <w:vertAlign w:val="superscript"/>
        </w:rPr>
        <w:t>+</w:t>
      </w:r>
      <w:r>
        <w:t xml:space="preserve"> and 100 ppm Li</w:t>
      </w:r>
      <w:r w:rsidRPr="00421E52">
        <w:rPr>
          <w:vertAlign w:val="superscript"/>
        </w:rPr>
        <w:t>+</w:t>
      </w:r>
      <w:r>
        <w:t xml:space="preserve">.  </w:t>
      </w:r>
    </w:p>
    <w:p w:rsidR="0010352D" w:rsidRDefault="0010352D" w:rsidP="0010352D"/>
    <w:tbl>
      <w:tblPr>
        <w:tblStyle w:val="TableGrid"/>
        <w:tblW w:w="0" w:type="auto"/>
        <w:jc w:val="center"/>
        <w:tblLook w:val="04A0" w:firstRow="1" w:lastRow="0" w:firstColumn="1" w:lastColumn="0" w:noHBand="0" w:noVBand="1"/>
      </w:tblPr>
      <w:tblGrid>
        <w:gridCol w:w="1240"/>
        <w:gridCol w:w="1185"/>
        <w:gridCol w:w="817"/>
        <w:gridCol w:w="761"/>
      </w:tblGrid>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b/>
                <w:bCs/>
                <w:color w:val="000000"/>
                <w:sz w:val="20"/>
              </w:rPr>
            </w:pPr>
            <w:r w:rsidRPr="00707513">
              <w:rPr>
                <w:rFonts w:eastAsia="Times New Roman"/>
                <w:b/>
                <w:bCs/>
                <w:color w:val="000000"/>
                <w:sz w:val="20"/>
              </w:rPr>
              <w:t>[Na</w:t>
            </w:r>
            <w:r w:rsidRPr="00707513">
              <w:rPr>
                <w:rFonts w:eastAsia="Times New Roman"/>
                <w:b/>
                <w:bCs/>
                <w:color w:val="000000"/>
                <w:sz w:val="20"/>
                <w:vertAlign w:val="superscript"/>
              </w:rPr>
              <w:t>+</w:t>
            </w:r>
            <w:r w:rsidRPr="00707513">
              <w:rPr>
                <w:rFonts w:eastAsia="Times New Roman"/>
                <w:b/>
                <w:bCs/>
                <w:color w:val="000000"/>
                <w:sz w:val="20"/>
              </w:rPr>
              <w:t>] (ppm)</w:t>
            </w:r>
          </w:p>
        </w:tc>
        <w:tc>
          <w:tcPr>
            <w:tcW w:w="0" w:type="auto"/>
            <w:noWrap/>
            <w:vAlign w:val="center"/>
            <w:hideMark/>
          </w:tcPr>
          <w:p w:rsidR="0010352D" w:rsidRPr="00707513" w:rsidRDefault="0010352D" w:rsidP="00C32DD7">
            <w:pPr>
              <w:jc w:val="center"/>
              <w:rPr>
                <w:rFonts w:eastAsia="Times New Roman"/>
                <w:b/>
                <w:bCs/>
                <w:color w:val="000000"/>
                <w:sz w:val="20"/>
              </w:rPr>
            </w:pPr>
            <w:r w:rsidRPr="00707513">
              <w:rPr>
                <w:rFonts w:eastAsia="Times New Roman"/>
                <w:b/>
                <w:bCs/>
                <w:color w:val="000000"/>
                <w:sz w:val="20"/>
              </w:rPr>
              <w:t>[Li</w:t>
            </w:r>
            <w:r w:rsidRPr="00707513">
              <w:rPr>
                <w:rFonts w:eastAsia="Times New Roman"/>
                <w:b/>
                <w:bCs/>
                <w:color w:val="000000"/>
                <w:sz w:val="20"/>
                <w:vertAlign w:val="superscript"/>
              </w:rPr>
              <w:t>+</w:t>
            </w:r>
            <w:r w:rsidRPr="00707513">
              <w:rPr>
                <w:rFonts w:eastAsia="Times New Roman"/>
                <w:b/>
                <w:bCs/>
                <w:color w:val="000000"/>
                <w:sz w:val="20"/>
              </w:rPr>
              <w:t>] (ppm)</w:t>
            </w:r>
          </w:p>
        </w:tc>
        <w:tc>
          <w:tcPr>
            <w:tcW w:w="0" w:type="auto"/>
            <w:noWrap/>
            <w:vAlign w:val="center"/>
            <w:hideMark/>
          </w:tcPr>
          <w:p w:rsidR="0010352D" w:rsidRPr="00707513" w:rsidRDefault="0010352D" w:rsidP="00C32DD7">
            <w:pPr>
              <w:jc w:val="center"/>
              <w:rPr>
                <w:rFonts w:eastAsia="Times New Roman"/>
                <w:b/>
                <w:bCs/>
                <w:color w:val="000000"/>
                <w:sz w:val="20"/>
              </w:rPr>
            </w:pPr>
            <w:proofErr w:type="spellStart"/>
            <w:r w:rsidRPr="00707513">
              <w:rPr>
                <w:rFonts w:eastAsia="Times New Roman"/>
                <w:b/>
                <w:bCs/>
                <w:color w:val="000000"/>
                <w:sz w:val="20"/>
              </w:rPr>
              <w:t>Int</w:t>
            </w:r>
            <w:proofErr w:type="spellEnd"/>
            <w:r w:rsidRPr="00707513">
              <w:rPr>
                <w:rFonts w:eastAsia="Times New Roman"/>
                <w:b/>
                <w:bCs/>
                <w:color w:val="000000"/>
                <w:sz w:val="20"/>
              </w:rPr>
              <w:t>, Na</w:t>
            </w:r>
          </w:p>
        </w:tc>
        <w:tc>
          <w:tcPr>
            <w:tcW w:w="0" w:type="auto"/>
            <w:noWrap/>
            <w:vAlign w:val="center"/>
            <w:hideMark/>
          </w:tcPr>
          <w:p w:rsidR="0010352D" w:rsidRPr="00707513" w:rsidRDefault="0010352D" w:rsidP="00C32DD7">
            <w:pPr>
              <w:jc w:val="center"/>
              <w:rPr>
                <w:rFonts w:eastAsia="Times New Roman"/>
                <w:b/>
                <w:bCs/>
                <w:color w:val="000000"/>
                <w:sz w:val="20"/>
              </w:rPr>
            </w:pPr>
            <w:proofErr w:type="spellStart"/>
            <w:r w:rsidRPr="00707513">
              <w:rPr>
                <w:rFonts w:eastAsia="Times New Roman"/>
                <w:b/>
                <w:bCs/>
                <w:color w:val="000000"/>
                <w:sz w:val="20"/>
              </w:rPr>
              <w:t>Int</w:t>
            </w:r>
            <w:proofErr w:type="spellEnd"/>
            <w:r w:rsidRPr="00707513">
              <w:rPr>
                <w:rFonts w:eastAsia="Times New Roman"/>
                <w:b/>
                <w:bCs/>
                <w:color w:val="000000"/>
                <w:sz w:val="20"/>
              </w:rPr>
              <w:t>, Li</w:t>
            </w:r>
          </w:p>
        </w:tc>
      </w:tr>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0.1</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0.11</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86</w:t>
            </w:r>
          </w:p>
        </w:tc>
      </w:tr>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0.5</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0.52</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80</w:t>
            </w:r>
          </w:p>
        </w:tc>
      </w:tr>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1.8</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128</w:t>
            </w:r>
          </w:p>
        </w:tc>
      </w:tr>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5</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5.9</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91</w:t>
            </w:r>
          </w:p>
        </w:tc>
      </w:tr>
      <w:tr w:rsidR="0010352D" w:rsidRPr="00707513" w:rsidTr="00C32DD7">
        <w:trPr>
          <w:trHeight w:val="300"/>
          <w:jc w:val="center"/>
        </w:trPr>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100</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9.5</w:t>
            </w:r>
          </w:p>
        </w:tc>
        <w:tc>
          <w:tcPr>
            <w:tcW w:w="0" w:type="auto"/>
            <w:noWrap/>
            <w:vAlign w:val="center"/>
            <w:hideMark/>
          </w:tcPr>
          <w:p w:rsidR="0010352D" w:rsidRPr="00707513" w:rsidRDefault="0010352D" w:rsidP="00C32DD7">
            <w:pPr>
              <w:jc w:val="center"/>
              <w:rPr>
                <w:rFonts w:eastAsia="Times New Roman"/>
                <w:color w:val="000000"/>
                <w:sz w:val="20"/>
              </w:rPr>
            </w:pPr>
            <w:r w:rsidRPr="00707513">
              <w:rPr>
                <w:rFonts w:eastAsia="Times New Roman"/>
                <w:color w:val="000000"/>
                <w:sz w:val="20"/>
              </w:rPr>
              <w:t>73</w:t>
            </w:r>
          </w:p>
        </w:tc>
      </w:tr>
    </w:tbl>
    <w:p w:rsidR="0010352D" w:rsidRDefault="0010352D" w:rsidP="0010352D"/>
    <w:p w:rsidR="0010352D" w:rsidRDefault="0010352D" w:rsidP="0010352D">
      <w:pPr>
        <w:pStyle w:val="ListParagraph"/>
      </w:pPr>
      <w:r>
        <w:t>A water sample is spiked with 100 ppm Li.  Flame emission spectroscopy yields a Na intensity of 4.4 and a Li intensity of 95.  Determine the concentration of Na</w:t>
      </w:r>
      <w:r w:rsidRPr="00420A62">
        <w:rPr>
          <w:vertAlign w:val="superscript"/>
        </w:rPr>
        <w:t>+</w:t>
      </w:r>
      <w:r>
        <w:t xml:space="preserve"> in the water sample.</w:t>
      </w:r>
      <w:r w:rsidR="00FC44A8">
        <w:rPr>
          <w:rStyle w:val="FootnoteReference"/>
        </w:rPr>
        <w:footnoteReference w:id="6"/>
      </w:r>
      <w:r>
        <w:t xml:space="preserve"> (</w:t>
      </w:r>
      <w:proofErr w:type="gramStart"/>
      <w:r>
        <w:t>answer</w:t>
      </w:r>
      <w:proofErr w:type="gramEnd"/>
      <w:r>
        <w:t xml:space="preserve"> = 3.5 ppm)</w:t>
      </w:r>
    </w:p>
    <w:p w:rsidR="0010352D" w:rsidRDefault="0010352D" w:rsidP="0010352D"/>
    <w:p w:rsidR="0010352D" w:rsidRDefault="0010352D" w:rsidP="001536CA"/>
    <w:sectPr w:rsidR="001035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9FC" w:rsidRDefault="004109FC" w:rsidP="001536CA">
      <w:r>
        <w:separator/>
      </w:r>
    </w:p>
  </w:endnote>
  <w:endnote w:type="continuationSeparator" w:id="0">
    <w:p w:rsidR="004109FC" w:rsidRDefault="004109FC" w:rsidP="00153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9FC" w:rsidRDefault="004109FC" w:rsidP="001536CA">
      <w:r>
        <w:separator/>
      </w:r>
    </w:p>
  </w:footnote>
  <w:footnote w:type="continuationSeparator" w:id="0">
    <w:p w:rsidR="004109FC" w:rsidRDefault="004109FC" w:rsidP="001536CA">
      <w:r>
        <w:continuationSeparator/>
      </w:r>
    </w:p>
  </w:footnote>
  <w:footnote w:id="1">
    <w:p w:rsidR="004A03C4" w:rsidRDefault="004A03C4">
      <w:pPr>
        <w:pStyle w:val="FootnoteText"/>
      </w:pPr>
      <w:r>
        <w:rPr>
          <w:rStyle w:val="FootnoteReference"/>
        </w:rPr>
        <w:footnoteRef/>
      </w:r>
      <w:r>
        <w:t xml:space="preserve"> Questions taken from Harvey, David.  “Chapter 3.”  </w:t>
      </w:r>
      <w:r w:rsidRPr="004A03C4">
        <w:rPr>
          <w:i/>
        </w:rPr>
        <w:t>Analytical Chemistry 2.1</w:t>
      </w:r>
      <w:r>
        <w:t xml:space="preserve">. </w:t>
      </w:r>
      <w:r w:rsidRPr="004A03C4">
        <w:t>http://dpuadweb.depauw.edu/harvey_web/eTextProject/version_2.1.html</w:t>
      </w:r>
      <w:r>
        <w:t xml:space="preserve"> </w:t>
      </w:r>
    </w:p>
  </w:footnote>
  <w:footnote w:id="2">
    <w:p w:rsidR="004A03C4" w:rsidRDefault="004A03C4">
      <w:pPr>
        <w:pStyle w:val="FootnoteText"/>
      </w:pPr>
      <w:r>
        <w:rPr>
          <w:rStyle w:val="FootnoteReference"/>
        </w:rPr>
        <w:footnoteRef/>
      </w:r>
      <w:r>
        <w:t xml:space="preserve"> Questions taken from Harvey, David.  “Chapter 3.”  </w:t>
      </w:r>
      <w:r w:rsidRPr="004A03C4">
        <w:rPr>
          <w:i/>
        </w:rPr>
        <w:t>Analytical Chemistry 2.1</w:t>
      </w:r>
      <w:r>
        <w:t xml:space="preserve">. </w:t>
      </w:r>
      <w:r w:rsidRPr="004A03C4">
        <w:t>http://dpuadweb.depauw.edu/harvey_web/eTextProject/version_2.1.html</w:t>
      </w:r>
      <w:r>
        <w:t xml:space="preserve"> </w:t>
      </w:r>
    </w:p>
  </w:footnote>
  <w:footnote w:id="3">
    <w:p w:rsidR="0010352D" w:rsidRDefault="0010352D" w:rsidP="0010352D">
      <w:pPr>
        <w:pStyle w:val="EndnoteText"/>
      </w:pPr>
      <w:r>
        <w:rPr>
          <w:rStyle w:val="FootnoteReference"/>
        </w:rPr>
        <w:footnoteRef/>
      </w:r>
      <w:r>
        <w:t xml:space="preserve"> Mary-Anne </w:t>
      </w:r>
      <w:proofErr w:type="gramStart"/>
      <w:r>
        <w:t>del</w:t>
      </w:r>
      <w:proofErr w:type="gramEnd"/>
      <w:r>
        <w:t xml:space="preserve"> Barrio, Jack Hu, </w:t>
      </w:r>
      <w:proofErr w:type="spellStart"/>
      <w:r>
        <w:t>Pengzu</w:t>
      </w:r>
      <w:proofErr w:type="spellEnd"/>
      <w:r>
        <w:t xml:space="preserve"> Zhou, Nina </w:t>
      </w:r>
      <w:proofErr w:type="spellStart"/>
      <w:r>
        <w:t>Cauchon</w:t>
      </w:r>
      <w:proofErr w:type="spellEnd"/>
      <w:r>
        <w:t>.  Simultaneous determination of formic acid and formaldehyde in pharmaceutical excipients using headspace GC/MS. Journal of Pharmaceutical and Biomedical Analysis, Volume 41, Issue 3, 2006, Pages 738-743.</w:t>
      </w:r>
    </w:p>
    <w:p w:rsidR="0010352D" w:rsidRDefault="0010352D" w:rsidP="0010352D">
      <w:pPr>
        <w:pStyle w:val="FootnoteText"/>
      </w:pPr>
    </w:p>
  </w:footnote>
  <w:footnote w:id="4">
    <w:p w:rsidR="00FC44A8" w:rsidRDefault="00FC44A8">
      <w:pPr>
        <w:pStyle w:val="FootnoteText"/>
      </w:pPr>
      <w:r>
        <w:rPr>
          <w:rStyle w:val="FootnoteReference"/>
        </w:rPr>
        <w:footnoteRef/>
      </w:r>
      <w:r>
        <w:t xml:space="preserve"> Adapted from </w:t>
      </w:r>
      <w:r w:rsidRPr="00FC44A8">
        <w:t xml:space="preserve">Harvey, David.  </w:t>
      </w:r>
      <w:r w:rsidRPr="00FC44A8">
        <w:rPr>
          <w:i/>
        </w:rPr>
        <w:t>Analytical Chemistry 2.1.</w:t>
      </w:r>
      <w:r w:rsidRPr="00FC44A8">
        <w:t xml:space="preserve"> </w:t>
      </w:r>
      <w:r>
        <w:t xml:space="preserve">p 192. </w:t>
      </w:r>
      <w:r w:rsidRPr="00FC44A8">
        <w:t>http://dpuadweb.depauw.edu/harvey_web/eTextProject/version_2.1.html</w:t>
      </w:r>
    </w:p>
  </w:footnote>
  <w:footnote w:id="5">
    <w:p w:rsidR="0095571E" w:rsidRDefault="0095571E">
      <w:pPr>
        <w:pStyle w:val="FootnoteText"/>
      </w:pPr>
      <w:r>
        <w:rPr>
          <w:rStyle w:val="FootnoteReference"/>
        </w:rPr>
        <w:footnoteRef/>
      </w:r>
      <w:r>
        <w:t xml:space="preserve"> Adapted from Skoog, D.A.; West, D. M.; Holler, F. J.; and Crouch, S. R.  </w:t>
      </w:r>
      <w:r w:rsidRPr="00FC44A8">
        <w:rPr>
          <w:i/>
        </w:rPr>
        <w:t>Fundamentals of Analytical Chemistry</w:t>
      </w:r>
      <w:r>
        <w:t>, 9</w:t>
      </w:r>
      <w:r w:rsidRPr="0095571E">
        <w:rPr>
          <w:vertAlign w:val="superscript"/>
        </w:rPr>
        <w:t>th</w:t>
      </w:r>
      <w:r>
        <w:t xml:space="preserve"> ed.; Brooks/Cole, Cengage Learning:  Belmont, CA, 2014, p 758.</w:t>
      </w:r>
    </w:p>
  </w:footnote>
  <w:footnote w:id="6">
    <w:p w:rsidR="00FC44A8" w:rsidRDefault="00FC44A8">
      <w:pPr>
        <w:pStyle w:val="FootnoteText"/>
      </w:pPr>
      <w:r>
        <w:rPr>
          <w:rStyle w:val="FootnoteReference"/>
        </w:rPr>
        <w:footnoteRef/>
      </w:r>
      <w:r>
        <w:t xml:space="preserve"> Adapted from Skoog, D.A.; West, D. M.; Holler, F. J.; and Crouch, S. R.  </w:t>
      </w:r>
      <w:r w:rsidRPr="00FC44A8">
        <w:rPr>
          <w:i/>
        </w:rPr>
        <w:t>Fundamentals of Analytical Chemistry</w:t>
      </w:r>
      <w:r>
        <w:t xml:space="preserve">, </w:t>
      </w:r>
      <w:bookmarkStart w:id="0" w:name="_GoBack"/>
      <w:bookmarkEnd w:id="0"/>
      <w:r>
        <w:t>9</w:t>
      </w:r>
      <w:r w:rsidRPr="0095571E">
        <w:rPr>
          <w:vertAlign w:val="superscript"/>
        </w:rPr>
        <w:t>th</w:t>
      </w:r>
      <w:r>
        <w:t xml:space="preserve"> ed.; Brooks/Cole, Cengage Learning:  Belmont, CA, 2014, p 183-4.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F35"/>
    <w:multiLevelType w:val="hybridMultilevel"/>
    <w:tmpl w:val="36ACD0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296820"/>
    <w:multiLevelType w:val="hybridMultilevel"/>
    <w:tmpl w:val="643A96F2"/>
    <w:lvl w:ilvl="0" w:tplc="4E244A38">
      <w:start w:val="1"/>
      <w:numFmt w:val="decimal"/>
      <w:lvlText w:val="%1."/>
      <w:lvlJc w:val="left"/>
      <w:pPr>
        <w:ind w:left="360" w:hanging="360"/>
      </w:pPr>
      <w:rPr>
        <w:rFonts w:hint="default"/>
      </w:rPr>
    </w:lvl>
    <w:lvl w:ilvl="1" w:tplc="33521A76">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DC7A86"/>
    <w:multiLevelType w:val="hybridMultilevel"/>
    <w:tmpl w:val="75A4A5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F4F420F"/>
    <w:multiLevelType w:val="hybridMultilevel"/>
    <w:tmpl w:val="13B2EB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F773324"/>
    <w:multiLevelType w:val="hybridMultilevel"/>
    <w:tmpl w:val="869ED772"/>
    <w:lvl w:ilvl="0" w:tplc="0E808F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B1350C"/>
    <w:multiLevelType w:val="hybridMultilevel"/>
    <w:tmpl w:val="198C5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3A1779"/>
    <w:multiLevelType w:val="hybridMultilevel"/>
    <w:tmpl w:val="59C8E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5507D3"/>
    <w:multiLevelType w:val="hybridMultilevel"/>
    <w:tmpl w:val="9858D0F0"/>
    <w:lvl w:ilvl="0" w:tplc="F66C259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EE34029"/>
    <w:multiLevelType w:val="hybridMultilevel"/>
    <w:tmpl w:val="C1461106"/>
    <w:lvl w:ilvl="0" w:tplc="700872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DC086F"/>
    <w:multiLevelType w:val="hybridMultilevel"/>
    <w:tmpl w:val="66986B38"/>
    <w:lvl w:ilvl="0" w:tplc="38C07D08">
      <w:start w:val="1"/>
      <w:numFmt w:val="decimal"/>
      <w:lvlText w:val="%1."/>
      <w:lvlJc w:val="left"/>
      <w:pPr>
        <w:ind w:left="360" w:hanging="360"/>
      </w:pPr>
      <w:rPr>
        <w:rFonts w:hint="default"/>
      </w:rPr>
    </w:lvl>
    <w:lvl w:ilvl="1" w:tplc="CA4675F0">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1"/>
  </w:num>
  <w:num w:numId="4">
    <w:abstractNumId w:val="2"/>
  </w:num>
  <w:num w:numId="5">
    <w:abstractNumId w:val="7"/>
  </w:num>
  <w:num w:numId="6">
    <w:abstractNumId w:val="3"/>
  </w:num>
  <w:num w:numId="7">
    <w:abstractNumId w:val="6"/>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6CA"/>
    <w:rsid w:val="000C104C"/>
    <w:rsid w:val="0010352D"/>
    <w:rsid w:val="001536CA"/>
    <w:rsid w:val="003D34DF"/>
    <w:rsid w:val="004109FC"/>
    <w:rsid w:val="004A03C4"/>
    <w:rsid w:val="007F61E4"/>
    <w:rsid w:val="008F6ED8"/>
    <w:rsid w:val="0095571E"/>
    <w:rsid w:val="00CC4E07"/>
    <w:rsid w:val="00CD35A3"/>
    <w:rsid w:val="00E062BF"/>
    <w:rsid w:val="00FB0F02"/>
    <w:rsid w:val="00FC4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6CA"/>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6CA"/>
    <w:pPr>
      <w:ind w:left="720"/>
      <w:contextualSpacing/>
    </w:pPr>
  </w:style>
  <w:style w:type="table" w:styleId="TableGrid">
    <w:name w:val="Table Grid"/>
    <w:basedOn w:val="TableNormal"/>
    <w:uiPriority w:val="39"/>
    <w:rsid w:val="001536CA"/>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1536CA"/>
    <w:rPr>
      <w:sz w:val="20"/>
      <w:szCs w:val="20"/>
    </w:rPr>
  </w:style>
  <w:style w:type="character" w:customStyle="1" w:styleId="EndnoteTextChar">
    <w:name w:val="Endnote Text Char"/>
    <w:basedOn w:val="DefaultParagraphFont"/>
    <w:link w:val="EndnoteText"/>
    <w:uiPriority w:val="99"/>
    <w:rsid w:val="001536CA"/>
    <w:rPr>
      <w:rFonts w:ascii="Times New Roman" w:hAnsi="Times New Roman" w:cs="Times New Roman"/>
      <w:sz w:val="20"/>
      <w:szCs w:val="20"/>
    </w:rPr>
  </w:style>
  <w:style w:type="paragraph" w:styleId="FootnoteText">
    <w:name w:val="footnote text"/>
    <w:basedOn w:val="Normal"/>
    <w:link w:val="FootnoteTextChar"/>
    <w:uiPriority w:val="99"/>
    <w:semiHidden/>
    <w:unhideWhenUsed/>
    <w:rsid w:val="001536CA"/>
    <w:rPr>
      <w:sz w:val="20"/>
      <w:szCs w:val="20"/>
    </w:rPr>
  </w:style>
  <w:style w:type="character" w:customStyle="1" w:styleId="FootnoteTextChar">
    <w:name w:val="Footnote Text Char"/>
    <w:basedOn w:val="DefaultParagraphFont"/>
    <w:link w:val="FootnoteText"/>
    <w:uiPriority w:val="99"/>
    <w:semiHidden/>
    <w:rsid w:val="001536CA"/>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536CA"/>
    <w:rPr>
      <w:vertAlign w:val="superscript"/>
    </w:rPr>
  </w:style>
  <w:style w:type="table" w:customStyle="1" w:styleId="PlainTable31">
    <w:name w:val="Plain Table 31"/>
    <w:basedOn w:val="TableNormal"/>
    <w:uiPriority w:val="43"/>
    <w:rsid w:val="001536CA"/>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6CA"/>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6CA"/>
    <w:pPr>
      <w:ind w:left="720"/>
      <w:contextualSpacing/>
    </w:pPr>
  </w:style>
  <w:style w:type="table" w:styleId="TableGrid">
    <w:name w:val="Table Grid"/>
    <w:basedOn w:val="TableNormal"/>
    <w:uiPriority w:val="39"/>
    <w:rsid w:val="001536CA"/>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1536CA"/>
    <w:rPr>
      <w:sz w:val="20"/>
      <w:szCs w:val="20"/>
    </w:rPr>
  </w:style>
  <w:style w:type="character" w:customStyle="1" w:styleId="EndnoteTextChar">
    <w:name w:val="Endnote Text Char"/>
    <w:basedOn w:val="DefaultParagraphFont"/>
    <w:link w:val="EndnoteText"/>
    <w:uiPriority w:val="99"/>
    <w:rsid w:val="001536CA"/>
    <w:rPr>
      <w:rFonts w:ascii="Times New Roman" w:hAnsi="Times New Roman" w:cs="Times New Roman"/>
      <w:sz w:val="20"/>
      <w:szCs w:val="20"/>
    </w:rPr>
  </w:style>
  <w:style w:type="paragraph" w:styleId="FootnoteText">
    <w:name w:val="footnote text"/>
    <w:basedOn w:val="Normal"/>
    <w:link w:val="FootnoteTextChar"/>
    <w:uiPriority w:val="99"/>
    <w:semiHidden/>
    <w:unhideWhenUsed/>
    <w:rsid w:val="001536CA"/>
    <w:rPr>
      <w:sz w:val="20"/>
      <w:szCs w:val="20"/>
    </w:rPr>
  </w:style>
  <w:style w:type="character" w:customStyle="1" w:styleId="FootnoteTextChar">
    <w:name w:val="Footnote Text Char"/>
    <w:basedOn w:val="DefaultParagraphFont"/>
    <w:link w:val="FootnoteText"/>
    <w:uiPriority w:val="99"/>
    <w:semiHidden/>
    <w:rsid w:val="001536CA"/>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536CA"/>
    <w:rPr>
      <w:vertAlign w:val="superscript"/>
    </w:rPr>
  </w:style>
  <w:style w:type="table" w:customStyle="1" w:styleId="PlainTable31">
    <w:name w:val="Plain Table 31"/>
    <w:basedOn w:val="TableNormal"/>
    <w:uiPriority w:val="43"/>
    <w:rsid w:val="001536CA"/>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B43CBA1-8442-4089-933B-CBD27A99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1847</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2</cp:revision>
  <dcterms:created xsi:type="dcterms:W3CDTF">2018-08-27T23:08:00Z</dcterms:created>
  <dcterms:modified xsi:type="dcterms:W3CDTF">2018-08-27T23:08:00Z</dcterms:modified>
</cp:coreProperties>
</file>