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rPr>
      </w:pPr>
      <w:r>
        <w:rPr>
          <w:b w:val="1"/>
          <w:bCs w:val="1"/>
          <w:rtl w:val="0"/>
          <w:lang w:val="en-US"/>
        </w:rPr>
        <w:t>Quantitative Acid-Base Titration in the Kitchen</w:t>
      </w:r>
    </w:p>
    <w:p>
      <w:pPr>
        <w:pStyle w:val="Body"/>
        <w:jc w:val="center"/>
        <w:rPr>
          <w:i w:val="1"/>
          <w:iCs w:val="1"/>
        </w:rPr>
      </w:pPr>
    </w:p>
    <w:p>
      <w:pPr>
        <w:pStyle w:val="Body"/>
        <w:jc w:val="center"/>
        <w:rPr>
          <w:i w:val="1"/>
          <w:iCs w:val="1"/>
        </w:rPr>
      </w:pPr>
      <w:r>
        <w:rPr>
          <w:i w:val="1"/>
          <w:iCs w:val="1"/>
          <w:rtl w:val="0"/>
          <w:lang w:val="en-US"/>
        </w:rPr>
        <w:t>Student Procedure</w:t>
      </w:r>
    </w:p>
    <w:p>
      <w:pPr>
        <w:pStyle w:val="Body"/>
        <w:jc w:val="center"/>
        <w:rPr>
          <w:b w:val="0"/>
          <w:bCs w:val="0"/>
        </w:rPr>
      </w:pPr>
    </w:p>
    <w:p>
      <w:pPr>
        <w:pStyle w:val="Body"/>
        <w:jc w:val="left"/>
        <w:rPr>
          <w:b w:val="0"/>
          <w:bCs w:val="0"/>
        </w:rPr>
      </w:pPr>
    </w:p>
    <w:p>
      <w:pPr>
        <w:pStyle w:val="Body"/>
        <w:jc w:val="left"/>
        <w:rPr>
          <w:b w:val="0"/>
          <w:bCs w:val="0"/>
        </w:rPr>
      </w:pPr>
    </w:p>
    <w:p>
      <w:pPr>
        <w:pStyle w:val="Body"/>
        <w:jc w:val="left"/>
        <w:rPr>
          <w:b w:val="0"/>
          <w:bCs w:val="0"/>
        </w:rPr>
      </w:pPr>
      <w:r>
        <w:rPr>
          <w:b w:val="0"/>
          <w:bCs w:val="0"/>
          <w:rtl w:val="0"/>
          <w:lang w:val="en-US"/>
        </w:rPr>
        <w:t>Everyday we are in contact with various chemicals and often we don</w:t>
      </w:r>
      <w:r>
        <w:rPr>
          <w:b w:val="0"/>
          <w:bCs w:val="0"/>
          <w:rtl w:val="0"/>
          <w:lang w:val="en-US"/>
        </w:rPr>
        <w:t>’</w:t>
      </w:r>
      <w:r>
        <w:rPr>
          <w:b w:val="0"/>
          <w:bCs w:val="0"/>
          <w:rtl w:val="0"/>
          <w:lang w:val="en-US"/>
        </w:rPr>
        <w:t>t recognize the nature of the chemistry that surrounds us.  In this analysis we will explore how a quantitative acid-base titration can be conducted with items that can be commonly found in your household.</w:t>
      </w:r>
    </w:p>
    <w:p>
      <w:pPr>
        <w:pStyle w:val="Body"/>
        <w:jc w:val="left"/>
        <w:rPr>
          <w:b w:val="0"/>
          <w:bCs w:val="0"/>
        </w:rPr>
      </w:pPr>
    </w:p>
    <w:p>
      <w:pPr>
        <w:pStyle w:val="Body"/>
        <w:jc w:val="left"/>
        <w:rPr>
          <w:b w:val="0"/>
          <w:bCs w:val="0"/>
        </w:rPr>
      </w:pPr>
      <w:r>
        <w:rPr>
          <w:b w:val="0"/>
          <w:bCs w:val="0"/>
          <w:rtl w:val="0"/>
          <w:lang w:val="en-US"/>
        </w:rPr>
        <w:t>You may be asking yourself how it could be possible to quantitative analysis with household items without access to the instruments and tools that we have in our teaching labs.  Yet one only needs a few key items to conduct a quantitative analysis: a known standard, a means of making reliable measurements, and way to identify the end point of the analysis.  The rest of the materials used need not be very precise.</w:t>
      </w:r>
    </w:p>
    <w:p>
      <w:pPr>
        <w:pStyle w:val="Body"/>
        <w:jc w:val="left"/>
        <w:rPr>
          <w:b w:val="0"/>
          <w:bCs w:val="0"/>
        </w:rPr>
      </w:pPr>
    </w:p>
    <w:p>
      <w:pPr>
        <w:pStyle w:val="Body"/>
        <w:jc w:val="left"/>
        <w:rPr>
          <w:b w:val="0"/>
          <w:bCs w:val="0"/>
        </w:rPr>
      </w:pPr>
      <w:r>
        <w:rPr>
          <w:b w:val="0"/>
          <w:bCs w:val="0"/>
          <w:rtl w:val="0"/>
          <w:lang w:val="en-US"/>
        </w:rPr>
        <w:t>For this acid-base titration we will use a spice, a baking ingredient, and a balance as our respective indicator, standard, and measurement tool.  The titrant will be a cleaning product, and as an analyte you will be quantifying the acid content of a lemon or lime concentrate.</w:t>
      </w:r>
    </w:p>
    <w:p>
      <w:pPr>
        <w:pStyle w:val="Body"/>
        <w:jc w:val="left"/>
        <w:rPr>
          <w:b w:val="0"/>
          <w:bCs w:val="0"/>
        </w:rPr>
      </w:pPr>
    </w:p>
    <w:p>
      <w:pPr>
        <w:pStyle w:val="Body"/>
        <w:jc w:val="left"/>
        <w:rPr>
          <w:b w:val="0"/>
          <w:bCs w:val="0"/>
          <w:u w:val="single"/>
        </w:rPr>
      </w:pPr>
      <w:r>
        <w:rPr>
          <w:b w:val="0"/>
          <w:bCs w:val="0"/>
          <w:u w:val="single"/>
          <w:rtl w:val="0"/>
          <w:lang w:val="en-US"/>
        </w:rPr>
        <w:t>The Indicator</w:t>
      </w:r>
    </w:p>
    <w:p>
      <w:pPr>
        <w:pStyle w:val="Body"/>
        <w:jc w:val="left"/>
        <w:rPr>
          <w:b w:val="0"/>
          <w:bCs w:val="0"/>
        </w:rPr>
      </w:pPr>
    </w:p>
    <w:p>
      <w:pPr>
        <w:pStyle w:val="Body"/>
        <w:jc w:val="left"/>
        <w:rPr>
          <w:b w:val="0"/>
          <w:bCs w:val="0"/>
        </w:rPr>
      </w:pPr>
      <w:r>
        <w:rPr>
          <w:b w:val="0"/>
          <w:bCs w:val="0"/>
          <w:rtl w:val="0"/>
          <w:lang w:val="en-US"/>
        </w:rPr>
        <w:t xml:space="preserve">For the indicator we will make use of powdered </w:t>
      </w:r>
      <w:r>
        <w:rPr>
          <w:rStyle w:val="Hyperlink.0"/>
          <w:b w:val="1"/>
          <w:bCs w:val="1"/>
        </w:rPr>
        <w:fldChar w:fldCharType="begin" w:fldLock="0"/>
      </w:r>
      <w:r>
        <w:rPr>
          <w:rStyle w:val="Hyperlink.0"/>
          <w:b w:val="1"/>
          <w:bCs w:val="1"/>
        </w:rPr>
        <w:instrText xml:space="preserve"> HYPERLINK "https://en.wikipedia.org/wiki/Turmeric"</w:instrText>
      </w:r>
      <w:r>
        <w:rPr>
          <w:rStyle w:val="Hyperlink.0"/>
          <w:b w:val="1"/>
          <w:bCs w:val="1"/>
        </w:rPr>
        <w:fldChar w:fldCharType="separate" w:fldLock="0"/>
      </w:r>
      <w:r>
        <w:rPr>
          <w:rStyle w:val="Hyperlink.0"/>
          <w:b w:val="1"/>
          <w:bCs w:val="1"/>
          <w:rtl w:val="0"/>
          <w:lang w:val="en-US"/>
        </w:rPr>
        <w:t>turmeric root</w:t>
      </w:r>
      <w:r>
        <w:rPr>
          <w:b w:val="1"/>
          <w:bCs w:val="1"/>
        </w:rPr>
        <w:fldChar w:fldCharType="end" w:fldLock="0"/>
      </w:r>
      <w:r>
        <w:rPr>
          <w:b w:val="0"/>
          <w:bCs w:val="0"/>
          <w:rtl w:val="0"/>
          <w:lang w:val="en-US"/>
        </w:rPr>
        <w:t>, a bright orange colored spice that is used frequently in Asian dishes.  Along with  providing a unique flavor to the foods it is added to, the spice also imparts the foods with a golden yellow color.  This golden yellow color comes from the presence of curcumin in the spice, and this compound will be our indicator.  The curcumin molecule, which is also fluorescent under UV light, is yellow colored in acid solutions, and becomes reddish-brown in solutions with a pH above ~8.</w:t>
      </w:r>
      <w:r>
        <w:rPr>
          <w:b w:val="0"/>
          <w:bCs w:val="0"/>
        </w:rPr>
        <mc:AlternateContent>
          <mc:Choice Requires="wpg">
            <w:drawing xmlns:a="http://schemas.openxmlformats.org/drawingml/2006/main">
              <wp:anchor distT="152400" distB="152400" distL="152400" distR="152400" simplePos="0" relativeHeight="251661312" behindDoc="0" locked="0" layoutInCell="1" allowOverlap="1">
                <wp:simplePos x="0" y="0"/>
                <wp:positionH relativeFrom="margin">
                  <wp:posOffset>2539999</wp:posOffset>
                </wp:positionH>
                <wp:positionV relativeFrom="line">
                  <wp:posOffset>293111</wp:posOffset>
                </wp:positionV>
                <wp:extent cx="2464677" cy="1945900"/>
                <wp:effectExtent l="0" t="0" r="0" b="0"/>
                <wp:wrapTopAndBottom distT="152400" distB="152400"/>
                <wp:docPr id="1073741830" name="officeArt object"/>
                <wp:cNvGraphicFramePr/>
                <a:graphic xmlns:a="http://schemas.openxmlformats.org/drawingml/2006/main">
                  <a:graphicData uri="http://schemas.microsoft.com/office/word/2010/wordprocessingGroup">
                    <wpg:wgp>
                      <wpg:cNvGrpSpPr/>
                      <wpg:grpSpPr>
                        <a:xfrm>
                          <a:off x="0" y="0"/>
                          <a:ext cx="2464677" cy="1945900"/>
                          <a:chOff x="0" y="0"/>
                          <a:chExt cx="2464676" cy="1945899"/>
                        </a:xfrm>
                      </wpg:grpSpPr>
                      <wpg:grpSp>
                        <wpg:cNvPr id="1073741827" name="Group 1073741827"/>
                        <wpg:cNvGrpSpPr/>
                        <wpg:grpSpPr>
                          <a:xfrm>
                            <a:off x="0" y="0"/>
                            <a:ext cx="2464677" cy="1945900"/>
                            <a:chOff x="0" y="0"/>
                            <a:chExt cx="2464676" cy="1945899"/>
                          </a:xfrm>
                        </wpg:grpSpPr>
                        <pic:pic xmlns:pic="http://schemas.openxmlformats.org/drawingml/2006/picture">
                          <pic:nvPicPr>
                            <pic:cNvPr id="1073741825" name="IMG_0930.jpeg"/>
                            <pic:cNvPicPr>
                              <a:picLocks noChangeAspect="1"/>
                            </pic:cNvPicPr>
                          </pic:nvPicPr>
                          <pic:blipFill>
                            <a:blip r:embed="rId4">
                              <a:extLst/>
                            </a:blip>
                            <a:srcRect l="0" t="0" r="7933" b="27722"/>
                            <a:stretch>
                              <a:fillRect/>
                            </a:stretch>
                          </pic:blipFill>
                          <pic:spPr>
                            <a:xfrm>
                              <a:off x="0" y="0"/>
                              <a:ext cx="2464677" cy="1451181"/>
                            </a:xfrm>
                            <a:prstGeom prst="rect">
                              <a:avLst/>
                            </a:prstGeom>
                            <a:ln w="12700" cap="flat">
                              <a:noFill/>
                              <a:miter lim="400000"/>
                            </a:ln>
                            <a:effectLst/>
                          </pic:spPr>
                        </pic:pic>
                        <wps:wsp>
                          <wps:cNvPr id="1073741826" name="Shape 1073741826"/>
                          <wps:cNvSpPr txBox="1"/>
                          <wps:spPr>
                            <a:xfrm>
                              <a:off x="0" y="1469649"/>
                              <a:ext cx="2464594" cy="476251"/>
                            </a:xfrm>
                            <a:prstGeom prst="rect">
                              <a:avLst/>
                            </a:prstGeom>
                            <a:noFill/>
                            <a:ln w="12700" cap="flat">
                              <a:noFill/>
                              <a:miter lim="400000"/>
                            </a:ln>
                            <a:effectLst/>
                          </wps:spPr>
                          <wps:txbx>
                            <w:txbxContent>
                              <w:p>
                                <w:pPr>
                                  <w:pStyle w:val="Body"/>
                                </w:pPr>
                                <w:r>
                                  <w:rPr>
                                    <w:b w:val="1"/>
                                    <w:bCs w:val="1"/>
                                    <w:rtl w:val="0"/>
                                    <w:lang w:val="en-US"/>
                                  </w:rPr>
                                  <w:t>Turmeric indicator in (A) acidic and (B) basic solutions.</w:t>
                                </w:r>
                              </w:p>
                            </w:txbxContent>
                          </wps:txbx>
                          <wps:bodyPr wrap="square" lIns="50800" tIns="50800" rIns="50800" bIns="50800" numCol="1" anchor="t">
                            <a:noAutofit/>
                          </wps:bodyPr>
                        </wps:wsp>
                      </wpg:grpSp>
                      <wps:wsp>
                        <wps:cNvPr id="1073741828" name="Shape 1073741828"/>
                        <wps:cNvSpPr txBox="1"/>
                        <wps:spPr>
                          <a:xfrm>
                            <a:off x="0" y="700239"/>
                            <a:ext cx="319802" cy="283408"/>
                          </a:xfrm>
                          <a:prstGeom prst="rect">
                            <a:avLst/>
                          </a:prstGeom>
                          <a:noFill/>
                          <a:ln w="12700" cap="flat">
                            <a:noFill/>
                            <a:miter lim="400000"/>
                          </a:ln>
                          <a:effectLst/>
                        </wps:spPr>
                        <wps:txbx>
                          <w:txbxContent>
                            <w:p>
                              <w:pPr>
                                <w:pStyle w:val="Body"/>
                              </w:pPr>
                              <w:r>
                                <w:rPr>
                                  <w:b w:val="1"/>
                                  <w:bCs w:val="1"/>
                                  <w:rtl w:val="0"/>
                                  <w:lang w:val="en-US"/>
                                </w:rPr>
                                <w:t>(A)</w:t>
                              </w:r>
                            </w:p>
                          </w:txbxContent>
                        </wps:txbx>
                        <wps:bodyPr wrap="square" lIns="50800" tIns="50800" rIns="50800" bIns="50800" numCol="1" anchor="t">
                          <a:noAutofit/>
                        </wps:bodyPr>
                      </wps:wsp>
                      <wps:wsp>
                        <wps:cNvPr id="1073741829" name="Shape 1073741829"/>
                        <wps:cNvSpPr txBox="1"/>
                        <wps:spPr>
                          <a:xfrm>
                            <a:off x="2144874" y="689542"/>
                            <a:ext cx="319803" cy="283408"/>
                          </a:xfrm>
                          <a:prstGeom prst="rect">
                            <a:avLst/>
                          </a:prstGeom>
                          <a:noFill/>
                          <a:ln w="12700" cap="flat">
                            <a:noFill/>
                            <a:miter lim="400000"/>
                          </a:ln>
                          <a:effectLst/>
                        </wps:spPr>
                        <wps:txbx>
                          <w:txbxContent>
                            <w:p>
                              <w:pPr>
                                <w:pStyle w:val="Body"/>
                              </w:pPr>
                              <w:r>
                                <w:rPr>
                                  <w:b w:val="1"/>
                                  <w:bCs w:val="1"/>
                                  <w:rtl w:val="0"/>
                                  <w:lang w:val="en-US"/>
                                </w:rPr>
                                <w:t>(B)</w:t>
                              </w:r>
                            </w:p>
                          </w:txbxContent>
                        </wps:txbx>
                        <wps:bodyPr wrap="square" lIns="50800" tIns="50800" rIns="50800" bIns="50800" numCol="1" anchor="t">
                          <a:noAutofit/>
                        </wps:bodyPr>
                      </wps:wsp>
                    </wpg:wgp>
                  </a:graphicData>
                </a:graphic>
              </wp:anchor>
            </w:drawing>
          </mc:Choice>
          <mc:Fallback>
            <w:pict>
              <v:group id="_x0000_s1026" style="visibility:visible;position:absolute;margin-left:200.0pt;margin-top:23.1pt;width:194.1pt;height:153.2pt;z-index:251661312;mso-position-horizontal:absolute;mso-position-horizontal-relative:margin;mso-position-vertical:absolute;mso-position-vertical-relative:line;mso-wrap-distance-left:12.0pt;mso-wrap-distance-top:12.0pt;mso-wrap-distance-right:12.0pt;mso-wrap-distance-bottom:12.0pt;" coordorigin="0,0" coordsize="2464677,1945899">
                <w10:wrap type="topAndBottom" side="bothSides" anchorx="margin"/>
                <v:group id="_x0000_s1027" style="position:absolute;left:0;top:0;width:2464676;height:1945899;" coordorigin="0,0" coordsize="2464676,1945899">
                  <v:shape id="_x0000_s1028" type="#_x0000_t75" style="position:absolute;left:0;top:0;width:2464676;height:1451181;">
                    <v:imagedata r:id="rId4" o:title="IMG_0930.jpeg" cropright="7.9%" croptop="0.0%" cropbottom="27.7%"/>
                  </v:shape>
                  <v:shape id="_x0000_s1029" type="#_x0000_t202" style="position:absolute;left:0;top:1469649;width:2464594;height:476250;">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b w:val="1"/>
                              <w:bCs w:val="1"/>
                              <w:rtl w:val="0"/>
                              <w:lang w:val="en-US"/>
                            </w:rPr>
                            <w:t>Turmeric indicator in (A) acidic and (B) basic solutions.</w:t>
                          </w:r>
                        </w:p>
                      </w:txbxContent>
                    </v:textbox>
                  </v:shape>
                </v:group>
                <v:shape id="_x0000_s1030" type="#_x0000_t202" style="position:absolute;left:0;top:700239;width:319802;height:283407;">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b w:val="1"/>
                            <w:bCs w:val="1"/>
                            <w:rtl w:val="0"/>
                            <w:lang w:val="en-US"/>
                          </w:rPr>
                          <w:t>(A)</w:t>
                        </w:r>
                      </w:p>
                    </w:txbxContent>
                  </v:textbox>
                </v:shape>
                <v:shape id="_x0000_s1031" type="#_x0000_t202" style="position:absolute;left:2144875;top:689542;width:319802;height:283407;">
                  <v:fill on="f"/>
                  <v:stroke on="f" weight="1.0pt" dashstyle="solid" endcap="flat" miterlimit="400.0%" joinstyle="miter" linestyle="single" startarrow="none" startarrowwidth="medium" startarrowlength="medium" endarrow="none" endarrowwidth="medium" endarrowlength="medium"/>
                  <v:textbox>
                    <w:txbxContent>
                      <w:p>
                        <w:pPr>
                          <w:pStyle w:val="Body"/>
                        </w:pPr>
                        <w:r>
                          <w:rPr>
                            <w:b w:val="1"/>
                            <w:bCs w:val="1"/>
                            <w:rtl w:val="0"/>
                            <w:lang w:val="en-US"/>
                          </w:rPr>
                          <w:t>(B)</w:t>
                        </w:r>
                      </w:p>
                    </w:txbxContent>
                  </v:textbox>
                </v:shape>
              </v:group>
            </w:pict>
          </mc:Fallback>
        </mc:AlternateContent>
      </w:r>
      <w:r>
        <w:rPr>
          <w:b w:val="0"/>
          <w:bCs w:val="0"/>
        </w:rPr>
        <w:drawing xmlns:a="http://schemas.openxmlformats.org/drawingml/2006/main">
          <wp:anchor distT="152400" distB="152400" distL="152400" distR="152400" simplePos="0" relativeHeight="251660288" behindDoc="0" locked="0" layoutInCell="1" allowOverlap="1">
            <wp:simplePos x="0" y="0"/>
            <wp:positionH relativeFrom="margin">
              <wp:posOffset>986613</wp:posOffset>
            </wp:positionH>
            <wp:positionV relativeFrom="line">
              <wp:posOffset>293111</wp:posOffset>
            </wp:positionV>
            <wp:extent cx="909235" cy="1847549"/>
            <wp:effectExtent l="0" t="0" r="0" b="0"/>
            <wp:wrapThrough wrapText="bothSides" distL="152400" distR="152400">
              <wp:wrapPolygon edited="1">
                <wp:start x="0" y="0"/>
                <wp:lineTo x="0" y="21599"/>
                <wp:lineTo x="21600" y="21599"/>
                <wp:lineTo x="21600" y="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G_0923.jpeg"/>
                    <pic:cNvPicPr>
                      <a:picLocks noChangeAspect="1"/>
                    </pic:cNvPicPr>
                  </pic:nvPicPr>
                  <pic:blipFill>
                    <a:blip r:embed="rId5">
                      <a:extLst/>
                    </a:blip>
                    <a:srcRect l="22434" t="1698" r="16046" b="4545"/>
                    <a:stretch>
                      <a:fillRect/>
                    </a:stretch>
                  </pic:blipFill>
                  <pic:spPr>
                    <a:xfrm>
                      <a:off x="0" y="0"/>
                      <a:ext cx="909235" cy="1847549"/>
                    </a:xfrm>
                    <a:prstGeom prst="rect">
                      <a:avLst/>
                    </a:prstGeom>
                    <a:ln w="12700" cap="flat">
                      <a:noFill/>
                      <a:miter lim="400000"/>
                    </a:ln>
                    <a:effectLst/>
                  </pic:spPr>
                </pic:pic>
              </a:graphicData>
            </a:graphic>
          </wp:anchor>
        </w:drawing>
      </w:r>
      <w:r>
        <w:rPr>
          <w:b w:val="0"/>
          <w:bCs w:val="0"/>
        </w:rPr>
        <w:drawing xmlns:a="http://schemas.openxmlformats.org/drawingml/2006/main">
          <wp:anchor distT="152400" distB="152400" distL="152400" distR="152400" simplePos="0" relativeHeight="251662336" behindDoc="0" locked="0" layoutInCell="1" allowOverlap="1">
            <wp:simplePos x="0" y="0"/>
            <wp:positionH relativeFrom="margin">
              <wp:posOffset>5103574</wp:posOffset>
            </wp:positionH>
            <wp:positionV relativeFrom="line">
              <wp:posOffset>2067718</wp:posOffset>
            </wp:positionV>
            <wp:extent cx="943088" cy="1996272"/>
            <wp:effectExtent l="0" t="0" r="0" b="0"/>
            <wp:wrapThrough wrapText="bothSides" distL="152400" distR="152400">
              <wp:wrapPolygon edited="1">
                <wp:start x="0" y="0"/>
                <wp:lineTo x="0" y="21600"/>
                <wp:lineTo x="21597" y="21600"/>
                <wp:lineTo x="21597" y="0"/>
                <wp:lineTo x="0"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G_0922.jpeg"/>
                    <pic:cNvPicPr>
                      <a:picLocks noChangeAspect="1"/>
                    </pic:cNvPicPr>
                  </pic:nvPicPr>
                  <pic:blipFill>
                    <a:blip r:embed="rId6">
                      <a:extLst/>
                    </a:blip>
                    <a:srcRect l="15929" t="0" r="23379" b="3649"/>
                    <a:stretch>
                      <a:fillRect/>
                    </a:stretch>
                  </pic:blipFill>
                  <pic:spPr>
                    <a:xfrm>
                      <a:off x="0" y="0"/>
                      <a:ext cx="943088" cy="1996272"/>
                    </a:xfrm>
                    <a:prstGeom prst="rect">
                      <a:avLst/>
                    </a:prstGeom>
                    <a:ln w="12700" cap="flat">
                      <a:noFill/>
                      <a:miter lim="400000"/>
                    </a:ln>
                    <a:effectLst/>
                  </pic:spPr>
                </pic:pic>
              </a:graphicData>
            </a:graphic>
          </wp:anchor>
        </w:drawing>
      </w:r>
    </w:p>
    <w:p>
      <w:pPr>
        <w:pStyle w:val="Body"/>
        <w:jc w:val="left"/>
        <w:rPr>
          <w:b w:val="0"/>
          <w:bCs w:val="0"/>
        </w:rPr>
      </w:pPr>
    </w:p>
    <w:p>
      <w:pPr>
        <w:pStyle w:val="Body"/>
        <w:jc w:val="left"/>
        <w:rPr>
          <w:b w:val="0"/>
          <w:bCs w:val="0"/>
        </w:rPr>
      </w:pPr>
    </w:p>
    <w:p>
      <w:pPr>
        <w:pStyle w:val="Body"/>
        <w:jc w:val="left"/>
        <w:rPr>
          <w:b w:val="0"/>
          <w:bCs w:val="0"/>
        </w:rPr>
      </w:pPr>
    </w:p>
    <w:p>
      <w:pPr>
        <w:pStyle w:val="Body"/>
        <w:jc w:val="left"/>
        <w:rPr>
          <w:b w:val="0"/>
          <w:bCs w:val="0"/>
          <w:u w:val="none"/>
        </w:rPr>
      </w:pPr>
      <w:r>
        <w:rPr>
          <w:b w:val="0"/>
          <w:bCs w:val="0"/>
          <w:u w:val="single"/>
          <w:rtl w:val="0"/>
          <w:lang w:val="en-US"/>
        </w:rPr>
        <w:t>The Standard</w:t>
      </w:r>
    </w:p>
    <w:p>
      <w:pPr>
        <w:pStyle w:val="Body"/>
        <w:jc w:val="left"/>
        <w:rPr>
          <w:b w:val="0"/>
          <w:bCs w:val="0"/>
          <w:u w:val="none"/>
        </w:rPr>
      </w:pPr>
    </w:p>
    <w:p>
      <w:pPr>
        <w:pStyle w:val="Body"/>
        <w:jc w:val="left"/>
        <w:rPr>
          <w:b w:val="0"/>
          <w:bCs w:val="0"/>
          <w:u w:val="none"/>
        </w:rPr>
      </w:pPr>
      <w:r>
        <w:rPr>
          <w:b w:val="0"/>
          <w:bCs w:val="0"/>
          <w:u w:val="none"/>
          <w:rtl w:val="0"/>
          <w:lang w:val="en-US"/>
        </w:rPr>
        <w:t xml:space="preserve">For the standard we need to find a pure compound that can be accurately measured.  Again we will look to the spice cabinet to find the solution to this challenge in the form of potassium bitartrate, better known as </w:t>
      </w:r>
      <w:r>
        <w:rPr>
          <w:rStyle w:val="Hyperlink.0"/>
          <w:b w:val="1"/>
          <w:bCs w:val="1"/>
          <w:u w:val="single"/>
        </w:rPr>
        <w:fldChar w:fldCharType="begin" w:fldLock="0"/>
      </w:r>
      <w:r>
        <w:rPr>
          <w:rStyle w:val="Hyperlink.0"/>
          <w:b w:val="1"/>
          <w:bCs w:val="1"/>
          <w:u w:val="single"/>
        </w:rPr>
        <w:instrText xml:space="preserve"> HYPERLINK "https://en.wikipedia.org/wiki/Potassium_bitartrate"</w:instrText>
      </w:r>
      <w:r>
        <w:rPr>
          <w:rStyle w:val="Hyperlink.0"/>
          <w:b w:val="1"/>
          <w:bCs w:val="1"/>
          <w:u w:val="single"/>
        </w:rPr>
        <w:fldChar w:fldCharType="separate" w:fldLock="0"/>
      </w:r>
      <w:r>
        <w:rPr>
          <w:rStyle w:val="Hyperlink.0"/>
          <w:b w:val="1"/>
          <w:bCs w:val="1"/>
          <w:u w:val="single"/>
          <w:rtl w:val="0"/>
          <w:lang w:val="en-US"/>
        </w:rPr>
        <w:t>cream of tartar</w:t>
      </w:r>
      <w:r>
        <w:rPr>
          <w:b w:val="1"/>
          <w:bCs w:val="1"/>
          <w:u w:val="single"/>
        </w:rPr>
        <w:fldChar w:fldCharType="end" w:fldLock="0"/>
      </w:r>
      <w:r>
        <w:rPr>
          <w:b w:val="0"/>
          <w:bCs w:val="0"/>
          <w:u w:val="none"/>
          <w:rtl w:val="0"/>
          <w:lang w:val="en-US"/>
        </w:rPr>
        <w:t>.  This acidic salt is a byproduct of wine making, where the low solubility of the acid causes the potassium acid salt to crystalize on the casks as the grapes are fermented.  The crystals are collected and used in several baking applications.  We will use the cream of tartar as our acid standard.  By accurately weighing the solid we can know the number of moles of acid involved in subsequent titrations, and use that to calibrate our titrant.</w:t>
      </w:r>
    </w:p>
    <w:p>
      <w:pPr>
        <w:pStyle w:val="Body"/>
        <w:jc w:val="left"/>
        <w:rPr>
          <w:b w:val="0"/>
          <w:bCs w:val="0"/>
          <w:u w:val="none"/>
        </w:rPr>
      </w:pPr>
    </w:p>
    <w:p>
      <w:pPr>
        <w:pStyle w:val="Body"/>
        <w:jc w:val="left"/>
        <w:rPr>
          <w:b w:val="0"/>
          <w:bCs w:val="0"/>
          <w:u w:val="none"/>
        </w:rPr>
      </w:pPr>
      <w:r>
        <w:rPr>
          <w:b w:val="0"/>
          <w:bCs w:val="0"/>
          <w:u w:val="single"/>
          <w:rtl w:val="0"/>
          <w:lang w:val="en-US"/>
        </w:rPr>
        <w:t>The Measurements</w:t>
      </w:r>
    </w:p>
    <w:p>
      <w:pPr>
        <w:pStyle w:val="Body"/>
        <w:jc w:val="left"/>
        <w:rPr>
          <w:b w:val="0"/>
          <w:bCs w:val="0"/>
          <w:u w:val="none"/>
        </w:rPr>
      </w:pPr>
    </w:p>
    <w:p>
      <w:pPr>
        <w:pStyle w:val="Body"/>
        <w:jc w:val="left"/>
        <w:rPr>
          <w:b w:val="0"/>
          <w:bCs w:val="0"/>
          <w:u w:val="none"/>
        </w:rPr>
      </w:pPr>
      <w:r>
        <w:rPr>
          <w:b w:val="0"/>
          <w:bCs w:val="0"/>
          <w:u w:val="none"/>
          <w:rtl w:val="0"/>
          <w:lang w:val="en-US"/>
        </w:rPr>
        <w:t>Making accurate measurements in the kitchen may seem challenging, after all you don</w:t>
      </w:r>
      <w:r>
        <w:rPr>
          <w:b w:val="0"/>
          <w:bCs w:val="0"/>
          <w:u w:val="none"/>
          <w:rtl w:val="0"/>
          <w:lang w:val="en-US"/>
        </w:rPr>
        <w:t>’</w:t>
      </w:r>
      <w:r>
        <w:rPr>
          <w:b w:val="0"/>
          <w:bCs w:val="0"/>
          <w:u w:val="none"/>
          <w:rtl w:val="0"/>
          <w:lang w:val="en-US"/>
        </w:rPr>
        <w:t>t have your calibrated volumetric glassware (volumetric flasks, pipettes, and burette).  However volumetric measurements aren</w:t>
      </w:r>
      <w:r>
        <w:rPr>
          <w:b w:val="0"/>
          <w:bCs w:val="0"/>
          <w:u w:val="none"/>
          <w:rtl w:val="0"/>
          <w:lang w:val="en-US"/>
        </w:rPr>
        <w:t>’</w:t>
      </w:r>
      <w:r>
        <w:rPr>
          <w:b w:val="0"/>
          <w:bCs w:val="0"/>
          <w:u w:val="none"/>
          <w:rtl w:val="0"/>
          <w:lang w:val="en-US"/>
        </w:rPr>
        <w:t>t the only way to do a titration, we can also do titrations by mass as well.  By accurately recording the mass of all components of a solution, and by weighing the amount of titrant delivered in a titration we can accurately calibrate our titrant and measure our unknowns.  To this end your kit will include a small portable scale (along with a calibration weight) which is accurate to 0.01 g.</w:t>
      </w:r>
    </w:p>
    <w:p>
      <w:pPr>
        <w:pStyle w:val="Body"/>
        <w:jc w:val="left"/>
        <w:rPr>
          <w:b w:val="0"/>
          <w:bCs w:val="0"/>
          <w:u w:val="none"/>
        </w:rPr>
      </w:pPr>
    </w:p>
    <w:p>
      <w:pPr>
        <w:pStyle w:val="Body"/>
        <w:jc w:val="left"/>
        <w:rPr>
          <w:b w:val="1"/>
          <w:bCs w:val="1"/>
          <w:u w:val="none"/>
        </w:rPr>
      </w:pPr>
      <w:r>
        <w:rPr>
          <w:b w:val="1"/>
          <w:bCs w:val="1"/>
          <w:u w:val="none"/>
          <w:rtl w:val="0"/>
          <w:lang w:val="en-US"/>
        </w:rPr>
        <w:t>Materials</w:t>
      </w:r>
    </w:p>
    <w:p>
      <w:pPr>
        <w:pStyle w:val="Body"/>
        <w:jc w:val="left"/>
        <w:rPr>
          <w:b w:val="0"/>
          <w:bCs w:val="0"/>
          <w:u w:val="none"/>
        </w:rPr>
      </w:pPr>
    </w:p>
    <w:p>
      <w:pPr>
        <w:pStyle w:val="Body"/>
        <w:jc w:val="left"/>
        <w:rPr>
          <w:b w:val="0"/>
          <w:bCs w:val="0"/>
          <w:u w:val="none"/>
        </w:rPr>
      </w:pPr>
      <w:r>
        <w:rPr>
          <w:b w:val="0"/>
          <w:bCs w:val="0"/>
          <w:u w:val="none"/>
          <w:rtl w:val="0"/>
          <w:lang w:val="en-US"/>
        </w:rPr>
        <w:t>Your kit for this lab will contain the following chemicals and equipment:</w:t>
      </w:r>
    </w:p>
    <w:p>
      <w:pPr>
        <w:pStyle w:val="Body"/>
        <w:jc w:val="left"/>
        <w:rPr>
          <w:b w:val="0"/>
          <w:bCs w:val="0"/>
          <w:u w:val="none"/>
        </w:rPr>
      </w:pPr>
    </w:p>
    <w:p>
      <w:pPr>
        <w:pStyle w:val="Body"/>
        <w:jc w:val="left"/>
        <w:rPr>
          <w:b w:val="0"/>
          <w:bCs w:val="0"/>
          <w:u w:val="none"/>
        </w:rPr>
      </w:pPr>
      <w:r>
        <w:rPr>
          <w:b w:val="0"/>
          <w:bCs w:val="0"/>
          <w:u w:val="single"/>
          <w:rtl w:val="0"/>
          <w:lang w:val="en-US"/>
        </w:rPr>
        <w:t>Equipment</w:t>
      </w:r>
    </w:p>
    <w:p>
      <w:pPr>
        <w:pStyle w:val="Body"/>
        <w:numPr>
          <w:ilvl w:val="2"/>
          <w:numId w:val="2"/>
        </w:numPr>
        <w:jc w:val="left"/>
        <w:rPr>
          <w:b w:val="1"/>
          <w:bCs w:val="1"/>
          <w:u w:val="single"/>
          <w:lang w:val="en-US"/>
        </w:rPr>
      </w:pPr>
      <w:r>
        <w:rPr>
          <w:b w:val="0"/>
          <w:bCs w:val="0"/>
          <w:u w:val="none"/>
          <w:rtl w:val="0"/>
          <w:lang w:val="en-US"/>
        </w:rPr>
        <w:t>A digital balance - max capacity 200 g</w:t>
      </w:r>
    </w:p>
    <w:p>
      <w:pPr>
        <w:pStyle w:val="Body"/>
        <w:numPr>
          <w:ilvl w:val="3"/>
          <w:numId w:val="2"/>
        </w:numPr>
        <w:jc w:val="left"/>
        <w:rPr>
          <w:b w:val="1"/>
          <w:bCs w:val="1"/>
          <w:u w:val="single"/>
          <w:lang w:val="en-US"/>
        </w:rPr>
      </w:pPr>
      <w:r>
        <w:rPr>
          <w:b w:val="0"/>
          <w:bCs w:val="0"/>
          <w:u w:val="none"/>
          <w:rtl w:val="0"/>
          <w:lang w:val="en-US"/>
        </w:rPr>
        <w:t>A spare pair of AAA batteries</w:t>
      </w:r>
    </w:p>
    <w:p>
      <w:pPr>
        <w:pStyle w:val="Body"/>
        <w:numPr>
          <w:ilvl w:val="3"/>
          <w:numId w:val="2"/>
        </w:numPr>
        <w:jc w:val="left"/>
        <w:rPr>
          <w:b w:val="1"/>
          <w:bCs w:val="1"/>
          <w:u w:val="single"/>
          <w:lang w:val="en-US"/>
        </w:rPr>
      </w:pPr>
      <w:r>
        <w:rPr>
          <w:b w:val="0"/>
          <w:bCs w:val="0"/>
          <w:u w:val="none"/>
          <w:rtl w:val="0"/>
          <w:lang w:val="en-US"/>
        </w:rPr>
        <w:t>A 200.00 g calibration weight</w:t>
      </w:r>
    </w:p>
    <w:p>
      <w:pPr>
        <w:pStyle w:val="Body"/>
        <w:numPr>
          <w:ilvl w:val="2"/>
          <w:numId w:val="2"/>
        </w:numPr>
        <w:jc w:val="left"/>
        <w:rPr>
          <w:b w:val="1"/>
          <w:bCs w:val="1"/>
          <w:u w:val="single"/>
          <w:lang w:val="en-US"/>
        </w:rPr>
      </w:pPr>
      <w:r>
        <w:rPr>
          <w:b w:val="0"/>
          <w:bCs w:val="0"/>
          <w:u w:val="none"/>
          <w:rtl w:val="0"/>
          <w:lang w:val="en-US"/>
        </w:rPr>
        <w:t>A plastic weighing stand - circular bowl with notched edges</w:t>
      </w:r>
    </w:p>
    <w:p>
      <w:pPr>
        <w:pStyle w:val="Body"/>
        <w:numPr>
          <w:ilvl w:val="2"/>
          <w:numId w:val="2"/>
        </w:numPr>
        <w:jc w:val="left"/>
        <w:rPr>
          <w:b w:val="1"/>
          <w:bCs w:val="1"/>
          <w:u w:val="single"/>
          <w:lang w:val="en-US"/>
        </w:rPr>
      </w:pPr>
      <w:r>
        <w:rPr>
          <w:b w:val="0"/>
          <w:bCs w:val="0"/>
          <w:u w:val="none"/>
          <w:rtl w:val="0"/>
          <w:lang w:val="en-US"/>
        </w:rPr>
        <w:t>Several plastic 10 mL syringes</w:t>
      </w:r>
    </w:p>
    <w:p>
      <w:pPr>
        <w:pStyle w:val="Body"/>
        <w:numPr>
          <w:ilvl w:val="2"/>
          <w:numId w:val="2"/>
        </w:numPr>
        <w:jc w:val="left"/>
        <w:rPr>
          <w:b w:val="1"/>
          <w:bCs w:val="1"/>
          <w:u w:val="single"/>
          <w:lang w:val="en-US"/>
        </w:rPr>
      </w:pPr>
      <w:r>
        <w:rPr>
          <w:b w:val="0"/>
          <w:bCs w:val="0"/>
          <w:u w:val="none"/>
          <w:rtl w:val="0"/>
          <w:lang w:val="en-US"/>
        </w:rPr>
        <w:t>Several plastic micropipette tips (for use with the syringes)</w:t>
      </w:r>
    </w:p>
    <w:p>
      <w:pPr>
        <w:pStyle w:val="Body"/>
        <w:numPr>
          <w:ilvl w:val="2"/>
          <w:numId w:val="2"/>
        </w:numPr>
        <w:jc w:val="left"/>
        <w:rPr>
          <w:b w:val="1"/>
          <w:bCs w:val="1"/>
          <w:u w:val="single"/>
          <w:lang w:val="en-US"/>
        </w:rPr>
      </w:pPr>
      <w:r>
        <w:rPr>
          <w:b w:val="0"/>
          <w:bCs w:val="0"/>
          <w:u w:val="none"/>
          <w:rtl w:val="0"/>
          <w:lang w:val="en-US"/>
        </w:rPr>
        <w:t>Five 100 mL beakers (glass or plastic).</w:t>
      </w:r>
    </w:p>
    <w:p>
      <w:pPr>
        <w:pStyle w:val="Body"/>
        <w:numPr>
          <w:ilvl w:val="2"/>
          <w:numId w:val="2"/>
        </w:numPr>
        <w:jc w:val="left"/>
        <w:rPr>
          <w:b w:val="1"/>
          <w:bCs w:val="1"/>
          <w:u w:val="single"/>
          <w:lang w:val="en-US"/>
        </w:rPr>
      </w:pPr>
      <w:r>
        <w:rPr>
          <w:b w:val="0"/>
          <w:bCs w:val="0"/>
          <w:u w:val="none"/>
          <w:rtl w:val="0"/>
          <w:lang w:val="en-US"/>
        </w:rPr>
        <w:t>One spatula</w:t>
      </w:r>
    </w:p>
    <w:p>
      <w:pPr>
        <w:pStyle w:val="Body"/>
        <w:jc w:val="left"/>
        <w:rPr>
          <w:b w:val="0"/>
          <w:bCs w:val="0"/>
          <w:u w:val="none"/>
        </w:rPr>
      </w:pPr>
    </w:p>
    <w:p>
      <w:pPr>
        <w:pStyle w:val="Body"/>
        <w:jc w:val="left"/>
        <w:rPr>
          <w:b w:val="0"/>
          <w:bCs w:val="0"/>
          <w:u w:val="none"/>
        </w:rPr>
      </w:pPr>
      <w:r>
        <w:rPr>
          <w:b w:val="0"/>
          <w:bCs w:val="0"/>
          <w:u w:val="single"/>
          <w:rtl w:val="0"/>
          <w:lang w:val="en-US"/>
        </w:rPr>
        <w:t>Chemicals</w:t>
      </w:r>
    </w:p>
    <w:p>
      <w:pPr>
        <w:pStyle w:val="Body"/>
        <w:numPr>
          <w:ilvl w:val="2"/>
          <w:numId w:val="2"/>
        </w:numPr>
        <w:jc w:val="left"/>
        <w:rPr>
          <w:b w:val="1"/>
          <w:bCs w:val="1"/>
          <w:u w:val="single"/>
          <w:lang w:val="en-US"/>
        </w:rPr>
      </w:pPr>
      <w:r>
        <w:rPr>
          <w:b w:val="0"/>
          <w:bCs w:val="0"/>
          <w:u w:val="none"/>
          <w:rtl w:val="0"/>
          <w:lang w:val="en-US"/>
        </w:rPr>
        <w:t>Cream of tartar (solid)</w:t>
      </w:r>
    </w:p>
    <w:p>
      <w:pPr>
        <w:pStyle w:val="Body"/>
        <w:numPr>
          <w:ilvl w:val="2"/>
          <w:numId w:val="2"/>
        </w:numPr>
        <w:jc w:val="left"/>
        <w:rPr>
          <w:b w:val="1"/>
          <w:bCs w:val="1"/>
          <w:u w:val="single"/>
          <w:lang w:val="en-US"/>
        </w:rPr>
      </w:pPr>
      <w:r>
        <w:rPr>
          <w:b w:val="0"/>
          <w:bCs w:val="0"/>
          <w:u w:val="none"/>
          <w:rtl w:val="0"/>
          <w:lang w:val="en-US"/>
        </w:rPr>
        <w:t>Borax (solid) or ammonium (liquid)</w:t>
      </w:r>
    </w:p>
    <w:p>
      <w:pPr>
        <w:pStyle w:val="Body"/>
        <w:numPr>
          <w:ilvl w:val="2"/>
          <w:numId w:val="2"/>
        </w:numPr>
        <w:jc w:val="left"/>
        <w:rPr>
          <w:b w:val="1"/>
          <w:bCs w:val="1"/>
          <w:u w:val="single"/>
          <w:lang w:val="en-US"/>
        </w:rPr>
      </w:pPr>
      <w:r>
        <w:rPr>
          <w:b w:val="0"/>
          <w:bCs w:val="0"/>
          <w:u w:val="none"/>
          <w:rtl w:val="0"/>
          <w:lang w:val="en-US"/>
        </w:rPr>
        <w:t>Turmeric (liquid)</w:t>
      </w:r>
    </w:p>
    <w:p>
      <w:pPr>
        <w:pStyle w:val="Body"/>
        <w:numPr>
          <w:ilvl w:val="2"/>
          <w:numId w:val="2"/>
        </w:numPr>
        <w:jc w:val="left"/>
        <w:rPr>
          <w:b w:val="1"/>
          <w:bCs w:val="1"/>
          <w:u w:val="single"/>
          <w:lang w:val="en-US"/>
        </w:rPr>
      </w:pPr>
      <w:r>
        <w:rPr>
          <w:b w:val="0"/>
          <w:bCs w:val="0"/>
          <w:u w:val="none"/>
          <w:rtl w:val="0"/>
          <w:lang w:val="en-US"/>
        </w:rPr>
        <w:t>Unknown acid (lime or lemon concentrate)</w:t>
      </w:r>
    </w:p>
    <w:p>
      <w:pPr>
        <w:pStyle w:val="Body"/>
        <w:numPr>
          <w:ilvl w:val="2"/>
          <w:numId w:val="2"/>
        </w:numPr>
        <w:jc w:val="left"/>
        <w:rPr>
          <w:b w:val="1"/>
          <w:bCs w:val="1"/>
          <w:u w:val="single"/>
          <w:lang w:val="en-US"/>
        </w:rPr>
      </w:pPr>
      <w:r>
        <w:rPr>
          <w:b w:val="0"/>
          <w:bCs w:val="0"/>
          <w:u w:val="none"/>
          <w:rtl w:val="0"/>
          <w:lang w:val="en-US"/>
        </w:rPr>
        <w:t>1 liter of Distilled water</w:t>
      </w:r>
    </w:p>
    <w:p>
      <w:pPr>
        <w:pStyle w:val="Body"/>
        <w:jc w:val="left"/>
        <w:rPr>
          <w:b w:val="0"/>
          <w:bCs w:val="0"/>
          <w:u w:val="none"/>
        </w:rPr>
      </w:pPr>
    </w:p>
    <w:p>
      <w:pPr>
        <w:pStyle w:val="Body"/>
        <w:jc w:val="left"/>
        <w:rPr>
          <w:b w:val="0"/>
          <w:bCs w:val="0"/>
          <w:u w:val="none"/>
        </w:rPr>
      </w:pPr>
    </w:p>
    <w:p>
      <w:pPr>
        <w:pStyle w:val="Body"/>
        <w:jc w:val="left"/>
        <w:rPr>
          <w:b w:val="0"/>
          <w:bCs w:val="0"/>
          <w:u w:val="none"/>
        </w:rPr>
      </w:pPr>
      <w:r>
        <w:rPr>
          <w:b w:val="1"/>
          <w:bCs w:val="1"/>
          <w:u w:val="none"/>
          <w:rtl w:val="0"/>
          <w:lang w:val="en-US"/>
        </w:rPr>
        <w:t>Procedure</w:t>
      </w:r>
    </w:p>
    <w:p>
      <w:pPr>
        <w:pStyle w:val="Body"/>
        <w:jc w:val="left"/>
        <w:rPr>
          <w:b w:val="0"/>
          <w:bCs w:val="0"/>
          <w:u w:val="none"/>
        </w:rPr>
      </w:pPr>
    </w:p>
    <w:p>
      <w:pPr>
        <w:pStyle w:val="Body"/>
        <w:jc w:val="left"/>
        <w:rPr>
          <w:b w:val="0"/>
          <w:bCs w:val="0"/>
          <w:u w:val="none"/>
        </w:rPr>
      </w:pPr>
      <w:r>
        <w:rPr>
          <w:b w:val="0"/>
          <w:bCs w:val="0"/>
          <w:u w:val="none"/>
          <w:rtl w:val="0"/>
          <w:lang w:val="en-US"/>
        </w:rPr>
        <w:t xml:space="preserve">As you do not have any accurate volumetric glassware all measurements will need to be made by mass.  However, to simplify some of your calculations you can make a somewhat accurate assumption: </w:t>
      </w:r>
      <w:r>
        <w:rPr>
          <w:b w:val="1"/>
          <w:bCs w:val="1"/>
          <w:u w:val="none"/>
          <w:rtl w:val="0"/>
          <w:lang w:val="en-US"/>
        </w:rPr>
        <w:t>that 1 mL of water = 1 g</w:t>
      </w:r>
      <w:r>
        <w:rPr>
          <w:b w:val="0"/>
          <w:bCs w:val="0"/>
          <w:u w:val="none"/>
          <w:rtl w:val="0"/>
          <w:lang w:val="en-US"/>
        </w:rPr>
        <w:t>.  This way if you need to make a solution in a certain concentration range you can use a desired volume (in mL), and simply weigh out the equivalent mass of water.  Just remember that the maximum weight that the scale can measure is 200 g.</w:t>
      </w:r>
    </w:p>
    <w:p>
      <w:pPr>
        <w:pStyle w:val="Body"/>
        <w:jc w:val="left"/>
        <w:rPr>
          <w:b w:val="0"/>
          <w:bCs w:val="0"/>
          <w:u w:val="none"/>
        </w:rPr>
      </w:pPr>
    </w:p>
    <w:p>
      <w:pPr>
        <w:pStyle w:val="Body"/>
        <w:jc w:val="left"/>
        <w:rPr>
          <w:b w:val="0"/>
          <w:bCs w:val="0"/>
          <w:u w:val="none"/>
        </w:rPr>
      </w:pPr>
      <w:r>
        <w:rPr>
          <w:b w:val="0"/>
          <w:bCs w:val="0"/>
          <w:u w:val="single"/>
          <w:rtl w:val="0"/>
          <w:lang w:val="en-US"/>
        </w:rPr>
        <w:t>Calibrate the scale</w:t>
      </w:r>
    </w:p>
    <w:p>
      <w:pPr>
        <w:pStyle w:val="Body"/>
        <w:jc w:val="left"/>
        <w:rPr>
          <w:b w:val="0"/>
          <w:bCs w:val="0"/>
          <w:u w:val="none"/>
        </w:rPr>
      </w:pPr>
    </w:p>
    <w:p>
      <w:pPr>
        <w:pStyle w:val="Body"/>
        <w:jc w:val="left"/>
        <w:rPr>
          <w:b w:val="0"/>
          <w:bCs w:val="0"/>
          <w:u w:val="none"/>
        </w:rPr>
      </w:pPr>
      <w:r>
        <w:rPr>
          <w:b w:val="0"/>
          <w:bCs w:val="0"/>
          <w:u w:val="none"/>
          <w:rtl w:val="0"/>
          <w:lang w:val="en-US"/>
        </w:rPr>
        <w:t>Using the 200.00 g calibration weight and following the instructions in the lid of the scale ensure that the scale is calibrated.  Be sure to place the scale on a flat surface when making measurements and try not to move it once it has been calibrated.  If desired you can recalibrate the scale during the analysis.</w:t>
      </w:r>
    </w:p>
    <w:p>
      <w:pPr>
        <w:pStyle w:val="Body"/>
        <w:jc w:val="left"/>
        <w:rPr>
          <w:b w:val="0"/>
          <w:bCs w:val="0"/>
          <w:u w:val="none"/>
        </w:rPr>
      </w:pPr>
    </w:p>
    <w:p>
      <w:pPr>
        <w:pStyle w:val="Body"/>
        <w:jc w:val="left"/>
        <w:rPr>
          <w:b w:val="0"/>
          <w:bCs w:val="0"/>
          <w:u w:val="none"/>
        </w:rPr>
      </w:pPr>
    </w:p>
    <w:p>
      <w:pPr>
        <w:pStyle w:val="Body"/>
        <w:jc w:val="left"/>
        <w:rPr>
          <w:b w:val="0"/>
          <w:bCs w:val="0"/>
          <w:u w:val="none"/>
        </w:rPr>
      </w:pPr>
      <w:r>
        <w:rPr>
          <w:b w:val="0"/>
          <w:bCs w:val="0"/>
          <w:u w:val="single"/>
          <w:rtl w:val="0"/>
          <w:lang w:val="en-US"/>
        </w:rPr>
        <w:t>Prepare the Acid Standard</w:t>
      </w:r>
    </w:p>
    <w:p>
      <w:pPr>
        <w:pStyle w:val="Body"/>
        <w:jc w:val="left"/>
        <w:rPr>
          <w:b w:val="0"/>
          <w:bCs w:val="0"/>
          <w:i w:val="1"/>
          <w:iCs w:val="1"/>
          <w:u w:val="none"/>
        </w:rPr>
      </w:pPr>
    </w:p>
    <w:p>
      <w:pPr>
        <w:pStyle w:val="Body"/>
        <w:jc w:val="left"/>
        <w:rPr>
          <w:b w:val="0"/>
          <w:bCs w:val="0"/>
          <w:i w:val="0"/>
          <w:iCs w:val="0"/>
          <w:u w:val="none"/>
        </w:rPr>
      </w:pPr>
      <w:r>
        <w:rPr>
          <w:b w:val="0"/>
          <w:bCs w:val="0"/>
          <w:i w:val="1"/>
          <w:iCs w:val="1"/>
          <w:u w:val="none"/>
          <w:rtl w:val="0"/>
          <w:lang w:val="en-US"/>
        </w:rPr>
        <w:t>The cream of tartar is only slightly soluble in water, and it dissolves slowly, so you should prepare this solution first, and be patient in letting the solution dissolve.</w:t>
      </w:r>
    </w:p>
    <w:p>
      <w:pPr>
        <w:pStyle w:val="Body"/>
        <w:jc w:val="left"/>
        <w:rPr>
          <w:b w:val="0"/>
          <w:bCs w:val="0"/>
          <w:i w:val="0"/>
          <w:iCs w:val="0"/>
          <w:u w:val="none"/>
        </w:rPr>
      </w:pPr>
    </w:p>
    <w:p>
      <w:pPr>
        <w:pStyle w:val="Body"/>
        <w:jc w:val="left"/>
        <w:rPr>
          <w:b w:val="0"/>
          <w:bCs w:val="0"/>
          <w:i w:val="0"/>
          <w:iCs w:val="0"/>
          <w:u w:val="none"/>
        </w:rPr>
      </w:pPr>
      <w:r>
        <w:rPr>
          <w:b w:val="0"/>
          <w:bCs w:val="0"/>
          <w:i w:val="0"/>
          <w:iCs w:val="0"/>
          <w:u w:val="none"/>
          <w:rtl w:val="0"/>
          <w:lang w:val="en-US"/>
        </w:rPr>
        <w:t xml:space="preserve">Prepare a roughly 100 mL solution of cream of tartar with a concentration of potassium bitartrate between 10-14 mM.  </w:t>
      </w:r>
    </w:p>
    <w:p>
      <w:pPr>
        <w:pStyle w:val="Body"/>
        <w:jc w:val="left"/>
        <w:rPr>
          <w:b w:val="0"/>
          <w:bCs w:val="0"/>
          <w:i w:val="0"/>
          <w:iCs w:val="0"/>
          <w:u w:val="none"/>
        </w:rPr>
      </w:pPr>
    </w:p>
    <w:p>
      <w:pPr>
        <w:pStyle w:val="Body"/>
        <w:jc w:val="left"/>
        <w:rPr>
          <w:b w:val="0"/>
          <w:bCs w:val="0"/>
          <w:i w:val="0"/>
          <w:iCs w:val="0"/>
          <w:u w:val="none"/>
        </w:rPr>
      </w:pPr>
      <w:r>
        <w:rPr>
          <w:b w:val="1"/>
          <w:bCs w:val="1"/>
          <w:i w:val="0"/>
          <w:iCs w:val="0"/>
          <w:u w:val="none"/>
          <w:rtl w:val="0"/>
          <w:lang w:val="en-US"/>
        </w:rPr>
        <w:t>Record both the mass of the cream of tartar and the mass of water used in preparing this solution.</w:t>
      </w:r>
    </w:p>
    <w:p>
      <w:pPr>
        <w:pStyle w:val="Body"/>
        <w:jc w:val="left"/>
        <w:rPr>
          <w:b w:val="0"/>
          <w:bCs w:val="0"/>
          <w:i w:val="0"/>
          <w:iCs w:val="0"/>
          <w:u w:val="none"/>
        </w:rPr>
      </w:pPr>
    </w:p>
    <w:p>
      <w:pPr>
        <w:pStyle w:val="Body"/>
        <w:jc w:val="left"/>
        <w:rPr>
          <w:b w:val="0"/>
          <w:bCs w:val="0"/>
          <w:i w:val="0"/>
          <w:iCs w:val="0"/>
          <w:u w:val="none"/>
        </w:rPr>
      </w:pPr>
      <w:r>
        <w:rPr>
          <w:b w:val="0"/>
          <w:bCs w:val="0"/>
          <w:i w:val="0"/>
          <w:iCs w:val="0"/>
          <w:u w:val="none"/>
          <w:rtl w:val="0"/>
          <w:lang w:val="en-US"/>
        </w:rPr>
        <w:t>Stir the solution to help dissolve the acid, and do not use the acid until all the solid has dissolved.  If some solid will not dissolve recheck your math to ensure you aren</w:t>
      </w:r>
      <w:r>
        <w:rPr>
          <w:b w:val="0"/>
          <w:bCs w:val="0"/>
          <w:i w:val="0"/>
          <w:iCs w:val="0"/>
          <w:u w:val="none"/>
          <w:rtl w:val="0"/>
          <w:lang w:val="en-US"/>
        </w:rPr>
        <w:t>’</w:t>
      </w:r>
      <w:r>
        <w:rPr>
          <w:b w:val="0"/>
          <w:bCs w:val="0"/>
          <w:i w:val="0"/>
          <w:iCs w:val="0"/>
          <w:u w:val="none"/>
          <w:rtl w:val="0"/>
          <w:lang w:val="en-US"/>
        </w:rPr>
        <w:t xml:space="preserve">t above 14 mM concentration; you may also be able to add a little more water to help dissolve the acid, </w:t>
      </w:r>
      <w:r>
        <w:rPr>
          <w:b w:val="0"/>
          <w:bCs w:val="0"/>
          <w:i w:val="1"/>
          <w:iCs w:val="1"/>
          <w:u w:val="none"/>
          <w:rtl w:val="0"/>
          <w:lang w:val="en-US"/>
        </w:rPr>
        <w:t>be sure to record the mass of any added water and add this to the original mass.</w:t>
      </w:r>
    </w:p>
    <w:p>
      <w:pPr>
        <w:pStyle w:val="Body"/>
        <w:jc w:val="left"/>
        <w:rPr>
          <w:b w:val="0"/>
          <w:bCs w:val="0"/>
          <w:i w:val="0"/>
          <w:iCs w:val="0"/>
          <w:u w:val="none"/>
        </w:rPr>
      </w:pPr>
    </w:p>
    <w:p>
      <w:pPr>
        <w:pStyle w:val="Body"/>
        <w:jc w:val="left"/>
        <w:rPr>
          <w:b w:val="0"/>
          <w:bCs w:val="0"/>
          <w:i w:val="0"/>
          <w:iCs w:val="0"/>
          <w:u w:val="none"/>
        </w:rPr>
      </w:pPr>
      <w:r>
        <w:rPr>
          <w:b w:val="0"/>
          <w:bCs w:val="0"/>
          <w:i w:val="0"/>
          <w:iCs w:val="0"/>
          <w:u w:val="single"/>
          <w:rtl w:val="0"/>
          <w:lang w:val="en-US"/>
        </w:rPr>
        <w:t>Prepare your titrant</w:t>
      </w:r>
    </w:p>
    <w:p>
      <w:pPr>
        <w:pStyle w:val="Body"/>
        <w:jc w:val="left"/>
        <w:rPr>
          <w:b w:val="0"/>
          <w:bCs w:val="0"/>
          <w:i w:val="0"/>
          <w:iCs w:val="0"/>
          <w:u w:val="none"/>
        </w:rPr>
      </w:pPr>
    </w:p>
    <w:p>
      <w:pPr>
        <w:pStyle w:val="Body"/>
        <w:jc w:val="left"/>
        <w:rPr>
          <w:b w:val="0"/>
          <w:bCs w:val="0"/>
          <w:i w:val="0"/>
          <w:iCs w:val="0"/>
          <w:u w:val="none"/>
        </w:rPr>
      </w:pPr>
      <w:r>
        <w:rPr>
          <w:b w:val="0"/>
          <w:bCs w:val="0"/>
          <w:i w:val="0"/>
          <w:iCs w:val="0"/>
          <w:u w:val="none"/>
          <w:rtl w:val="0"/>
          <w:lang w:val="en-US"/>
        </w:rPr>
        <w:t>Select the titrant preparation protocol that corresponds to the titrant solution that you have been provided.</w:t>
      </w:r>
    </w:p>
    <w:p>
      <w:pPr>
        <w:pStyle w:val="Body"/>
        <w:jc w:val="left"/>
        <w:rPr>
          <w:b w:val="0"/>
          <w:bCs w:val="0"/>
          <w:i w:val="0"/>
          <w:iCs w:val="0"/>
          <w:u w:val="none"/>
        </w:rPr>
      </w:pPr>
    </w:p>
    <w:p>
      <w:pPr>
        <w:pStyle w:val="Body"/>
        <w:jc w:val="left"/>
        <w:rPr>
          <w:b w:val="0"/>
          <w:bCs w:val="0"/>
          <w:i w:val="0"/>
          <w:iCs w:val="0"/>
          <w:u w:val="none"/>
        </w:rPr>
      </w:pPr>
    </w:p>
    <w:p>
      <w:pPr>
        <w:pStyle w:val="Body"/>
        <w:jc w:val="left"/>
        <w:rPr>
          <w:b w:val="0"/>
          <w:bCs w:val="0"/>
          <w:i w:val="0"/>
          <w:iCs w:val="0"/>
          <w:u w:val="none"/>
        </w:rPr>
      </w:pPr>
      <w:r>
        <w:rPr>
          <w:b w:val="0"/>
          <w:bCs w:val="0"/>
          <w:i w:val="0"/>
          <w:iCs w:val="0"/>
          <w:u w:val="none"/>
        </w:rPr>
        <mc:AlternateContent>
          <mc:Choice Requires="wpg">
            <w:drawing xmlns:a="http://schemas.openxmlformats.org/drawingml/2006/main">
              <wp:anchor distT="152400" distB="152400" distL="152400" distR="152400" simplePos="0" relativeHeight="251659264" behindDoc="0" locked="0" layoutInCell="1" allowOverlap="1">
                <wp:simplePos x="0" y="0"/>
                <wp:positionH relativeFrom="margin">
                  <wp:posOffset>3904166</wp:posOffset>
                </wp:positionH>
                <wp:positionV relativeFrom="line">
                  <wp:posOffset>262771</wp:posOffset>
                </wp:positionV>
                <wp:extent cx="2039434" cy="1193086"/>
                <wp:effectExtent l="0" t="0" r="0" b="0"/>
                <wp:wrapThrough wrapText="bothSides" distL="152400" distR="152400">
                  <wp:wrapPolygon edited="1">
                    <wp:start x="0" y="0"/>
                    <wp:lineTo x="21600" y="0"/>
                    <wp:lineTo x="21600" y="21600"/>
                    <wp:lineTo x="0" y="21600"/>
                    <wp:lineTo x="0" y="0"/>
                  </wp:wrapPolygon>
                </wp:wrapThrough>
                <wp:docPr id="1073741835" name="officeArt object"/>
                <wp:cNvGraphicFramePr/>
                <a:graphic xmlns:a="http://schemas.openxmlformats.org/drawingml/2006/main">
                  <a:graphicData uri="http://schemas.microsoft.com/office/word/2010/wordprocessingGroup">
                    <wpg:wgp>
                      <wpg:cNvGrpSpPr/>
                      <wpg:grpSpPr>
                        <a:xfrm>
                          <a:off x="0" y="0"/>
                          <a:ext cx="2039434" cy="1193086"/>
                          <a:chOff x="0" y="0"/>
                          <a:chExt cx="2039433" cy="1193085"/>
                        </a:xfrm>
                      </wpg:grpSpPr>
                      <wps:wsp>
                        <wps:cNvPr id="1073741833" name="Shape 1073741833"/>
                        <wps:cNvSpPr txBox="1"/>
                        <wps:spPr>
                          <a:xfrm>
                            <a:off x="0" y="0"/>
                            <a:ext cx="2039434" cy="1193086"/>
                          </a:xfrm>
                          <a:prstGeom prst="rect">
                            <a:avLst/>
                          </a:prstGeom>
                          <a:noFill/>
                          <a:ln w="12700" cap="flat">
                            <a:noFill/>
                            <a:miter lim="400000"/>
                          </a:ln>
                          <a:effectLst/>
                        </wps:spPr>
                        <wps:txbx>
                          <w:txbxContent>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pPr>
                              <w:r>
                                <w:rPr>
                                  <w:b w:val="1"/>
                                  <w:bCs w:val="1"/>
                                  <w:rtl w:val="0"/>
                                  <w:lang w:val="en-US"/>
                                </w:rPr>
                                <w:t>Sodium tetraborate</w:t>
                              </w:r>
                            </w:p>
                          </w:txbxContent>
                        </wps:txbx>
                        <wps:bodyPr wrap="square" lIns="50800" tIns="50800" rIns="50800" bIns="50800" numCol="1" anchor="t">
                          <a:noAutofit/>
                        </wps:bodyPr>
                      </wps:wsp>
                      <pic:pic xmlns:pic="http://schemas.openxmlformats.org/drawingml/2006/picture">
                        <pic:nvPicPr>
                          <pic:cNvPr id="1073741834" name="BoraxChem.png"/>
                          <pic:cNvPicPr>
                            <a:picLocks noChangeAspect="1"/>
                          </pic:cNvPicPr>
                        </pic:nvPicPr>
                        <pic:blipFill>
                          <a:blip r:embed="rId7">
                            <a:extLst/>
                          </a:blip>
                          <a:stretch>
                            <a:fillRect/>
                          </a:stretch>
                        </pic:blipFill>
                        <pic:spPr>
                          <a:xfrm>
                            <a:off x="0" y="62258"/>
                            <a:ext cx="1687208" cy="920484"/>
                          </a:xfrm>
                          <a:prstGeom prst="rect">
                            <a:avLst/>
                          </a:prstGeom>
                          <a:ln w="12700" cap="flat">
                            <a:noFill/>
                            <a:miter lim="400000"/>
                          </a:ln>
                          <a:effectLst/>
                        </pic:spPr>
                      </pic:pic>
                    </wpg:wgp>
                  </a:graphicData>
                </a:graphic>
              </wp:anchor>
            </w:drawing>
          </mc:Choice>
          <mc:Fallback>
            <w:pict>
              <v:group id="_x0000_s1032" style="visibility:visible;position:absolute;margin-left:307.4pt;margin-top:20.7pt;width:160.6pt;height:93.9pt;z-index:251659264;mso-position-horizontal:absolute;mso-position-horizontal-relative:margin;mso-position-vertical:absolute;mso-position-vertical-relative:line;mso-wrap-distance-left:12.0pt;mso-wrap-distance-top:12.0pt;mso-wrap-distance-right:12.0pt;mso-wrap-distance-bottom:12.0pt;" coordorigin="0,0" coordsize="2039434,1193086">
                <w10:wrap type="through" side="bothSides" anchorx="margin"/>
                <v:shape id="_x0000_s1033" type="#_x0000_t202" style="position:absolute;left:0;top:0;width:2039434;height:1193086;">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pPr>
                        <w:r>
                          <w:rPr>
                            <w:b w:val="1"/>
                            <w:bCs w:val="1"/>
                            <w:rtl w:val="0"/>
                            <w:lang w:val="en-US"/>
                          </w:rPr>
                          <w:t>Sodium tetraborate</w:t>
                        </w:r>
                      </w:p>
                    </w:txbxContent>
                  </v:textbox>
                </v:shape>
                <v:shape id="_x0000_s1034" type="#_x0000_t75" style="position:absolute;left:0;top:62258;width:1687207;height:920484;">
                  <v:imagedata r:id="rId7" o:title="BoraxChem.png"/>
                </v:shape>
              </v:group>
            </w:pict>
          </mc:Fallback>
        </mc:AlternateContent>
      </w:r>
    </w:p>
    <w:p>
      <w:pPr>
        <w:pStyle w:val="Body"/>
        <w:jc w:val="left"/>
        <w:rPr>
          <w:b w:val="0"/>
          <w:bCs w:val="0"/>
          <w:i w:val="0"/>
          <w:iCs w:val="0"/>
          <w:u w:val="none"/>
        </w:rPr>
      </w:pPr>
      <w:r>
        <w:rPr>
          <w:b w:val="0"/>
          <w:bCs w:val="0"/>
          <w:i w:val="0"/>
          <w:iCs w:val="0"/>
          <w:u w:val="single"/>
          <w:rtl w:val="0"/>
          <w:lang w:val="en-US"/>
        </w:rPr>
        <w:t>Borax</w:t>
      </w:r>
    </w:p>
    <w:p>
      <w:pPr>
        <w:pStyle w:val="Body"/>
        <w:jc w:val="left"/>
        <w:rPr>
          <w:b w:val="0"/>
          <w:bCs w:val="0"/>
          <w:i w:val="0"/>
          <w:iCs w:val="0"/>
          <w:u w:val="none"/>
        </w:rPr>
      </w:pPr>
    </w:p>
    <w:p>
      <w:pPr>
        <w:pStyle w:val="Body"/>
        <w:jc w:val="left"/>
        <w:rPr>
          <w:b w:val="0"/>
          <w:bCs w:val="0"/>
          <w:i w:val="0"/>
          <w:iCs w:val="0"/>
          <w:u w:val="none"/>
        </w:rPr>
      </w:pPr>
      <w:r>
        <w:rPr>
          <w:b w:val="0"/>
          <w:bCs w:val="0"/>
          <w:i w:val="0"/>
          <w:iCs w:val="0"/>
          <w:u w:val="none"/>
          <w:rtl w:val="0"/>
          <w:lang w:val="en-US"/>
        </w:rPr>
        <w:t xml:space="preserve">Borax is often used as a cleaning product, or added to other cleaners to improve their efficacy.  It is also used in making </w:t>
      </w:r>
      <w:r>
        <w:rPr>
          <w:b w:val="0"/>
          <w:bCs w:val="0"/>
          <w:i w:val="0"/>
          <w:iCs w:val="0"/>
          <w:u w:val="none"/>
          <w:rtl w:val="0"/>
          <w:lang w:val="en-US"/>
        </w:rPr>
        <w:t>“</w:t>
      </w:r>
      <w:r>
        <w:rPr>
          <w:b w:val="0"/>
          <w:bCs w:val="0"/>
          <w:i w:val="0"/>
          <w:iCs w:val="0"/>
          <w:u w:val="none"/>
          <w:rtl w:val="0"/>
          <w:lang w:val="en-US"/>
        </w:rPr>
        <w:t>slime</w:t>
      </w:r>
      <w:r>
        <w:rPr>
          <w:b w:val="0"/>
          <w:bCs w:val="0"/>
          <w:i w:val="0"/>
          <w:iCs w:val="0"/>
          <w:u w:val="none"/>
          <w:rtl w:val="0"/>
          <w:lang w:val="en-US"/>
        </w:rPr>
        <w:t xml:space="preserve">” </w:t>
      </w:r>
      <w:r>
        <w:rPr>
          <w:b w:val="0"/>
          <w:bCs w:val="0"/>
          <w:i w:val="0"/>
          <w:iCs w:val="0"/>
          <w:u w:val="none"/>
          <w:rtl w:val="0"/>
          <w:lang w:val="en-US"/>
        </w:rPr>
        <w:t xml:space="preserve">when mixed with white glue.  Borax is the common name for sodium tetraborate, a salt with a rather complex structure.  The complex has the formula </w:t>
      </w:r>
      <w:r>
        <w:rPr>
          <w:b w:val="0"/>
          <w:bCs w:val="0"/>
          <w:i w:val="0"/>
          <w:iCs w:val="0"/>
          <w:u w:val="none"/>
          <w:rtl w:val="0"/>
        </w:rPr>
        <w:t>Na</w:t>
      </w:r>
      <w:r>
        <w:rPr>
          <w:b w:val="0"/>
          <w:bCs w:val="0"/>
          <w:i w:val="0"/>
          <w:iCs w:val="0"/>
          <w:u w:val="none"/>
          <w:vertAlign w:val="subscript"/>
          <w:rtl w:val="0"/>
        </w:rPr>
        <w:t>2</w:t>
      </w:r>
      <w:r>
        <w:rPr>
          <w:b w:val="0"/>
          <w:bCs w:val="0"/>
          <w:i w:val="0"/>
          <w:iCs w:val="0"/>
          <w:u w:val="none"/>
          <w:rtl w:val="0"/>
          <w:lang w:val="en-US"/>
        </w:rPr>
        <w:t>H</w:t>
      </w:r>
      <w:r>
        <w:rPr>
          <w:b w:val="0"/>
          <w:bCs w:val="0"/>
          <w:i w:val="0"/>
          <w:iCs w:val="0"/>
          <w:u w:val="none"/>
          <w:vertAlign w:val="subscript"/>
          <w:rtl w:val="0"/>
          <w:lang w:val="en-US"/>
        </w:rPr>
        <w:t>4</w:t>
      </w:r>
      <w:r>
        <w:rPr>
          <w:b w:val="0"/>
          <w:bCs w:val="0"/>
          <w:i w:val="0"/>
          <w:iCs w:val="0"/>
          <w:u w:val="none"/>
          <w:rtl w:val="0"/>
          <w:lang w:val="en-US"/>
        </w:rPr>
        <w:t>B</w:t>
      </w:r>
      <w:r>
        <w:rPr>
          <w:b w:val="0"/>
          <w:bCs w:val="0"/>
          <w:i w:val="0"/>
          <w:iCs w:val="0"/>
          <w:u w:val="none"/>
          <w:vertAlign w:val="subscript"/>
          <w:rtl w:val="0"/>
          <w:lang w:val="en-US"/>
        </w:rPr>
        <w:t>4</w:t>
      </w:r>
      <w:r>
        <w:rPr>
          <w:b w:val="0"/>
          <w:bCs w:val="0"/>
          <w:i w:val="0"/>
          <w:iCs w:val="0"/>
          <w:u w:val="none"/>
          <w:rtl w:val="0"/>
          <w:lang w:val="en-US"/>
        </w:rPr>
        <w:t>O</w:t>
      </w:r>
      <w:r>
        <w:rPr>
          <w:b w:val="0"/>
          <w:bCs w:val="0"/>
          <w:i w:val="0"/>
          <w:iCs w:val="0"/>
          <w:u w:val="none"/>
          <w:vertAlign w:val="subscript"/>
          <w:rtl w:val="0"/>
          <w:lang w:val="en-US"/>
        </w:rPr>
        <w:t>9</w:t>
      </w:r>
      <w:r>
        <w:rPr>
          <w:b w:val="0"/>
          <w:bCs w:val="0"/>
          <w:i w:val="0"/>
          <w:iCs w:val="0"/>
          <w:u w:val="none"/>
          <w:rtl w:val="0"/>
          <w:lang w:val="en-US"/>
        </w:rPr>
        <w:t>•</w:t>
      </w:r>
      <w:r>
        <w:rPr>
          <w:b w:val="0"/>
          <w:bCs w:val="0"/>
          <w:i w:val="0"/>
          <w:iCs w:val="0"/>
          <w:u w:val="none"/>
          <w:rtl w:val="0"/>
          <w:lang w:val="en-US"/>
        </w:rPr>
        <w:t>nH</w:t>
      </w:r>
      <w:r>
        <w:rPr>
          <w:b w:val="0"/>
          <w:bCs w:val="0"/>
          <w:i w:val="0"/>
          <w:iCs w:val="0"/>
          <w:u w:val="none"/>
          <w:vertAlign w:val="subscript"/>
          <w:rtl w:val="0"/>
          <w:lang w:val="en-US"/>
        </w:rPr>
        <w:t>2</w:t>
      </w:r>
      <w:r>
        <w:rPr>
          <w:b w:val="0"/>
          <w:bCs w:val="0"/>
          <w:i w:val="0"/>
          <w:iCs w:val="0"/>
          <w:u w:val="none"/>
          <w:rtl w:val="0"/>
          <w:lang w:val="en-US"/>
        </w:rPr>
        <w:t xml:space="preserve">O, where </w:t>
      </w:r>
      <w:r>
        <w:rPr>
          <w:b w:val="0"/>
          <w:bCs w:val="0"/>
          <w:i w:val="1"/>
          <w:iCs w:val="1"/>
          <w:u w:val="none"/>
          <w:rtl w:val="0"/>
          <w:lang w:val="en-US"/>
        </w:rPr>
        <w:t>n</w:t>
      </w:r>
      <w:r>
        <w:rPr>
          <w:b w:val="0"/>
          <w:bCs w:val="0"/>
          <w:i w:val="0"/>
          <w:iCs w:val="0"/>
          <w:u w:val="none"/>
          <w:rtl w:val="0"/>
          <w:lang w:val="en-US"/>
        </w:rPr>
        <w:t xml:space="preserve"> is typically 0, 5 or 10.  Given that you are using a commercial product and not a standardized chemical it is unknown what form, or mixture of forms, of borax you have.  Fortunately, you are going to standardize the solution you prepare by titrating your acid standard with it.</w:t>
      </w:r>
    </w:p>
    <w:p>
      <w:pPr>
        <w:pStyle w:val="Body"/>
        <w:jc w:val="left"/>
        <w:rPr>
          <w:b w:val="0"/>
          <w:bCs w:val="0"/>
          <w:i w:val="0"/>
          <w:iCs w:val="0"/>
          <w:u w:val="none"/>
        </w:rPr>
      </w:pPr>
    </w:p>
    <w:p>
      <w:pPr>
        <w:pStyle w:val="Body"/>
        <w:jc w:val="left"/>
        <w:rPr>
          <w:b w:val="0"/>
          <w:bCs w:val="0"/>
          <w:i w:val="0"/>
          <w:iCs w:val="0"/>
          <w:u w:val="none"/>
        </w:rPr>
      </w:pPr>
      <w:r>
        <w:rPr>
          <w:b w:val="0"/>
          <w:bCs w:val="0"/>
          <w:i w:val="0"/>
          <w:iCs w:val="0"/>
          <w:u w:val="none"/>
          <w:rtl w:val="0"/>
          <w:lang w:val="en-US"/>
        </w:rPr>
        <w:t>Borax forms a base when dissolved in solution via the following steps:</w:t>
      </w:r>
    </w:p>
    <w:p>
      <w:pPr>
        <w:pStyle w:val="Body"/>
        <w:jc w:val="left"/>
        <w:rPr>
          <w:b w:val="0"/>
          <w:bCs w:val="0"/>
          <w:i w:val="0"/>
          <w:iCs w:val="0"/>
          <w:u w:val="none"/>
        </w:rPr>
      </w:pPr>
    </w:p>
    <w:p>
      <w:pPr>
        <w:pStyle w:val="Body"/>
        <w:numPr>
          <w:ilvl w:val="1"/>
          <w:numId w:val="4"/>
        </w:numPr>
        <w:jc w:val="left"/>
        <w:rPr>
          <w:b w:val="1"/>
          <w:bCs w:val="1"/>
          <w:i w:val="1"/>
          <w:iCs w:val="1"/>
          <w:u w:val="single"/>
          <w:lang w:val="en-US"/>
        </w:rPr>
      </w:pPr>
      <w:r>
        <w:rPr>
          <w:b w:val="0"/>
          <w:bCs w:val="0"/>
          <w:i w:val="0"/>
          <w:iCs w:val="0"/>
          <w:u w:val="none"/>
          <w:rtl w:val="0"/>
          <w:lang w:val="en-US"/>
        </w:rPr>
        <w:t>Na</w:t>
      </w:r>
      <w:r>
        <w:rPr>
          <w:b w:val="0"/>
          <w:bCs w:val="0"/>
          <w:i w:val="0"/>
          <w:iCs w:val="0"/>
          <w:u w:val="none"/>
          <w:vertAlign w:val="subscript"/>
          <w:rtl w:val="0"/>
          <w:lang w:val="en-US"/>
        </w:rPr>
        <w:t>2</w:t>
      </w:r>
      <w:r>
        <w:rPr>
          <w:b w:val="0"/>
          <w:bCs w:val="0"/>
          <w:i w:val="0"/>
          <w:iCs w:val="0"/>
          <w:u w:val="none"/>
          <w:rtl w:val="0"/>
          <w:lang w:val="en-US"/>
        </w:rPr>
        <w:t>H</w:t>
      </w:r>
      <w:r>
        <w:rPr>
          <w:b w:val="0"/>
          <w:bCs w:val="0"/>
          <w:i w:val="0"/>
          <w:iCs w:val="0"/>
          <w:u w:val="none"/>
          <w:vertAlign w:val="subscript"/>
          <w:rtl w:val="0"/>
          <w:lang w:val="en-US"/>
        </w:rPr>
        <w:t>4</w:t>
      </w:r>
      <w:r>
        <w:rPr>
          <w:b w:val="0"/>
          <w:bCs w:val="0"/>
          <w:i w:val="0"/>
          <w:iCs w:val="0"/>
          <w:u w:val="none"/>
          <w:rtl w:val="0"/>
          <w:lang w:val="en-US"/>
        </w:rPr>
        <w:t>B</w:t>
      </w:r>
      <w:r>
        <w:rPr>
          <w:b w:val="0"/>
          <w:bCs w:val="0"/>
          <w:i w:val="0"/>
          <w:iCs w:val="0"/>
          <w:u w:val="none"/>
          <w:vertAlign w:val="subscript"/>
          <w:rtl w:val="0"/>
          <w:lang w:val="en-US"/>
        </w:rPr>
        <w:t>4</w:t>
      </w:r>
      <w:r>
        <w:rPr>
          <w:b w:val="0"/>
          <w:bCs w:val="0"/>
          <w:i w:val="0"/>
          <w:iCs w:val="0"/>
          <w:u w:val="none"/>
          <w:rtl w:val="0"/>
          <w:lang w:val="en-US"/>
        </w:rPr>
        <w:t>O</w:t>
      </w:r>
      <w:r>
        <w:rPr>
          <w:b w:val="0"/>
          <w:bCs w:val="0"/>
          <w:i w:val="0"/>
          <w:iCs w:val="0"/>
          <w:u w:val="none"/>
          <w:vertAlign w:val="subscript"/>
          <w:rtl w:val="0"/>
          <w:lang w:val="en-US"/>
        </w:rPr>
        <w:t>9</w:t>
      </w:r>
      <w:r>
        <w:rPr>
          <w:b w:val="0"/>
          <w:bCs w:val="0"/>
          <w:i w:val="0"/>
          <w:iCs w:val="0"/>
          <w:u w:val="none"/>
          <w:rtl w:val="0"/>
          <w:lang w:val="en-US"/>
        </w:rPr>
        <w:t xml:space="preserve"> </w:t>
      </w:r>
      <w:r>
        <w:rPr>
          <w:rFonts w:ascii="Arial Unicode MS" w:cs="Arial Unicode MS" w:hAnsi="Arial Unicode MS" w:eastAsia="Arial Unicode MS" w:hint="default"/>
          <w:b w:val="0"/>
          <w:bCs w:val="0"/>
          <w:i w:val="0"/>
          <w:iCs w:val="0"/>
          <w:u w:val="none"/>
          <w:rtl w:val="0"/>
          <w:lang w:val="en-US"/>
        </w:rPr>
        <w:t>→</w:t>
      </w:r>
      <w:r>
        <w:rPr>
          <w:b w:val="0"/>
          <w:bCs w:val="0"/>
          <w:i w:val="0"/>
          <w:iCs w:val="0"/>
          <w:u w:val="none"/>
          <w:rtl w:val="0"/>
          <w:lang w:val="en-US"/>
        </w:rPr>
        <w:t xml:space="preserve"> </w:t>
      </w:r>
      <w:r>
        <w:rPr>
          <w:b w:val="0"/>
          <w:bCs w:val="0"/>
          <w:i w:val="0"/>
          <w:iCs w:val="0"/>
          <w:u w:val="none"/>
          <w:rtl w:val="0"/>
          <w:lang w:val="en-US"/>
        </w:rPr>
        <w:t>2Na</w:t>
      </w:r>
      <w:r>
        <w:rPr>
          <w:b w:val="0"/>
          <w:bCs w:val="0"/>
          <w:i w:val="0"/>
          <w:iCs w:val="0"/>
          <w:u w:val="none"/>
          <w:vertAlign w:val="superscript"/>
          <w:rtl w:val="0"/>
          <w:lang w:val="en-US"/>
        </w:rPr>
        <w:t>+</w:t>
      </w:r>
      <w:r>
        <w:rPr>
          <w:b w:val="0"/>
          <w:bCs w:val="0"/>
          <w:i w:val="0"/>
          <w:iCs w:val="0"/>
          <w:u w:val="none"/>
          <w:rtl w:val="0"/>
          <w:lang w:val="en-US"/>
        </w:rPr>
        <w:t xml:space="preserve"> + H</w:t>
      </w:r>
      <w:r>
        <w:rPr>
          <w:b w:val="0"/>
          <w:bCs w:val="0"/>
          <w:i w:val="0"/>
          <w:iCs w:val="0"/>
          <w:u w:val="none"/>
          <w:vertAlign w:val="subscript"/>
          <w:rtl w:val="0"/>
          <w:lang w:val="en-US"/>
        </w:rPr>
        <w:t>4</w:t>
      </w:r>
      <w:r>
        <w:rPr>
          <w:b w:val="0"/>
          <w:bCs w:val="0"/>
          <w:i w:val="0"/>
          <w:iCs w:val="0"/>
          <w:u w:val="none"/>
          <w:rtl w:val="0"/>
          <w:lang w:val="en-US"/>
        </w:rPr>
        <w:t>B</w:t>
      </w:r>
      <w:r>
        <w:rPr>
          <w:b w:val="0"/>
          <w:bCs w:val="0"/>
          <w:i w:val="0"/>
          <w:iCs w:val="0"/>
          <w:u w:val="none"/>
          <w:vertAlign w:val="subscript"/>
          <w:rtl w:val="0"/>
          <w:lang w:val="en-US"/>
        </w:rPr>
        <w:t>4</w:t>
      </w:r>
      <w:r>
        <w:rPr>
          <w:b w:val="0"/>
          <w:bCs w:val="0"/>
          <w:i w:val="0"/>
          <w:iCs w:val="0"/>
          <w:u w:val="none"/>
          <w:rtl w:val="0"/>
          <w:lang w:val="en-US"/>
        </w:rPr>
        <w:t>O</w:t>
      </w:r>
      <w:r>
        <w:rPr>
          <w:b w:val="0"/>
          <w:bCs w:val="0"/>
          <w:i w:val="0"/>
          <w:iCs w:val="0"/>
          <w:u w:val="none"/>
          <w:vertAlign w:val="subscript"/>
          <w:rtl w:val="0"/>
          <w:lang w:val="en-US"/>
        </w:rPr>
        <w:t>9</w:t>
      </w:r>
      <w:r>
        <w:rPr>
          <w:b w:val="0"/>
          <w:bCs w:val="0"/>
          <w:i w:val="0"/>
          <w:iCs w:val="0"/>
          <w:u w:val="none"/>
          <w:vertAlign w:val="superscript"/>
          <w:rtl w:val="0"/>
          <w:lang w:val="en-US"/>
        </w:rPr>
        <w:t>2</w:t>
      </w:r>
      <w:r>
        <w:rPr>
          <w:b w:val="0"/>
          <w:bCs w:val="0"/>
          <w:i w:val="0"/>
          <w:iCs w:val="0"/>
          <w:u w:val="none"/>
          <w:vertAlign w:val="superscript"/>
          <w:rtl w:val="0"/>
          <w:lang w:val="en-US"/>
        </w:rPr>
        <w:t>–</w:t>
      </w:r>
    </w:p>
    <w:p>
      <w:pPr>
        <w:pStyle w:val="Body"/>
        <w:numPr>
          <w:ilvl w:val="1"/>
          <w:numId w:val="4"/>
        </w:numPr>
        <w:jc w:val="left"/>
        <w:rPr>
          <w:b w:val="1"/>
          <w:bCs w:val="1"/>
          <w:i w:val="1"/>
          <w:iCs w:val="1"/>
          <w:u w:val="single"/>
          <w:lang w:val="en-US"/>
        </w:rPr>
      </w:pPr>
      <w:r>
        <w:rPr>
          <w:b w:val="0"/>
          <w:bCs w:val="0"/>
          <w:i w:val="0"/>
          <w:iCs w:val="0"/>
          <w:u w:val="none"/>
          <w:rtl w:val="0"/>
          <w:lang w:val="en-US"/>
        </w:rPr>
        <w:t>H</w:t>
      </w:r>
      <w:r>
        <w:rPr>
          <w:b w:val="0"/>
          <w:bCs w:val="0"/>
          <w:i w:val="0"/>
          <w:iCs w:val="0"/>
          <w:u w:val="none"/>
          <w:vertAlign w:val="subscript"/>
          <w:rtl w:val="0"/>
          <w:lang w:val="en-US"/>
        </w:rPr>
        <w:t>4</w:t>
      </w:r>
      <w:r>
        <w:rPr>
          <w:b w:val="0"/>
          <w:bCs w:val="0"/>
          <w:i w:val="0"/>
          <w:iCs w:val="0"/>
          <w:u w:val="none"/>
          <w:rtl w:val="0"/>
          <w:lang w:val="en-US"/>
        </w:rPr>
        <w:t>B</w:t>
      </w:r>
      <w:r>
        <w:rPr>
          <w:b w:val="0"/>
          <w:bCs w:val="0"/>
          <w:i w:val="0"/>
          <w:iCs w:val="0"/>
          <w:u w:val="none"/>
          <w:vertAlign w:val="subscript"/>
          <w:rtl w:val="0"/>
          <w:lang w:val="en-US"/>
        </w:rPr>
        <w:t>4</w:t>
      </w:r>
      <w:r>
        <w:rPr>
          <w:b w:val="0"/>
          <w:bCs w:val="0"/>
          <w:i w:val="0"/>
          <w:iCs w:val="0"/>
          <w:u w:val="none"/>
          <w:rtl w:val="0"/>
          <w:lang w:val="en-US"/>
        </w:rPr>
        <w:t>O</w:t>
      </w:r>
      <w:r>
        <w:rPr>
          <w:b w:val="0"/>
          <w:bCs w:val="0"/>
          <w:i w:val="0"/>
          <w:iCs w:val="0"/>
          <w:u w:val="none"/>
          <w:vertAlign w:val="subscript"/>
          <w:rtl w:val="0"/>
          <w:lang w:val="en-US"/>
        </w:rPr>
        <w:t>9</w:t>
      </w:r>
      <w:r>
        <w:rPr>
          <w:b w:val="0"/>
          <w:bCs w:val="0"/>
          <w:i w:val="0"/>
          <w:iCs w:val="0"/>
          <w:u w:val="none"/>
          <w:vertAlign w:val="superscript"/>
          <w:rtl w:val="0"/>
          <w:lang w:val="en-US"/>
        </w:rPr>
        <w:t>2</w:t>
      </w:r>
      <w:r>
        <w:rPr>
          <w:b w:val="0"/>
          <w:bCs w:val="0"/>
          <w:i w:val="0"/>
          <w:iCs w:val="0"/>
          <w:u w:val="none"/>
          <w:vertAlign w:val="superscript"/>
          <w:rtl w:val="0"/>
          <w:lang w:val="en-US"/>
        </w:rPr>
        <w:t>–</w:t>
      </w:r>
      <w:r>
        <w:rPr>
          <w:b w:val="0"/>
          <w:bCs w:val="0"/>
          <w:i w:val="0"/>
          <w:iCs w:val="0"/>
          <w:u w:val="none"/>
          <w:rtl w:val="0"/>
          <w:lang w:val="en-US"/>
        </w:rPr>
        <w:t xml:space="preserve"> + 10H</w:t>
      </w:r>
      <w:r>
        <w:rPr>
          <w:b w:val="0"/>
          <w:bCs w:val="0"/>
          <w:i w:val="0"/>
          <w:iCs w:val="0"/>
          <w:u w:val="none"/>
          <w:vertAlign w:val="subscript"/>
          <w:rtl w:val="0"/>
          <w:lang w:val="en-US"/>
        </w:rPr>
        <w:t>2</w:t>
      </w:r>
      <w:r>
        <w:rPr>
          <w:b w:val="0"/>
          <w:bCs w:val="0"/>
          <w:i w:val="0"/>
          <w:iCs w:val="0"/>
          <w:u w:val="none"/>
          <w:rtl w:val="0"/>
          <w:lang w:val="en-US"/>
        </w:rPr>
        <w:t xml:space="preserve">O </w:t>
      </w:r>
      <w:r>
        <w:rPr>
          <w:rFonts w:ascii="Arial Unicode MS" w:cs="Arial Unicode MS" w:hAnsi="Arial Unicode MS" w:eastAsia="Arial Unicode MS" w:hint="default"/>
          <w:b w:val="0"/>
          <w:bCs w:val="0"/>
          <w:i w:val="0"/>
          <w:iCs w:val="0"/>
          <w:u w:val="none"/>
          <w:rtl w:val="0"/>
          <w:lang w:val="en-US"/>
        </w:rPr>
        <w:t>⇄</w:t>
      </w:r>
      <w:r>
        <w:rPr>
          <w:b w:val="0"/>
          <w:bCs w:val="0"/>
          <w:i w:val="0"/>
          <w:iCs w:val="0"/>
          <w:u w:val="none"/>
          <w:rtl w:val="0"/>
          <w:lang w:val="en-US"/>
        </w:rPr>
        <w:t xml:space="preserve"> </w:t>
      </w:r>
      <w:r>
        <w:rPr>
          <w:b w:val="0"/>
          <w:bCs w:val="0"/>
          <w:i w:val="0"/>
          <w:iCs w:val="0"/>
          <w:u w:val="none"/>
          <w:rtl w:val="0"/>
          <w:lang w:val="en-US"/>
        </w:rPr>
        <w:t>H</w:t>
      </w:r>
      <w:r>
        <w:rPr>
          <w:b w:val="0"/>
          <w:bCs w:val="0"/>
          <w:i w:val="0"/>
          <w:iCs w:val="0"/>
          <w:u w:val="none"/>
          <w:vertAlign w:val="subscript"/>
          <w:rtl w:val="0"/>
          <w:lang w:val="en-US"/>
        </w:rPr>
        <w:t>12</w:t>
      </w:r>
      <w:r>
        <w:rPr>
          <w:b w:val="0"/>
          <w:bCs w:val="0"/>
          <w:i w:val="0"/>
          <w:iCs w:val="0"/>
          <w:u w:val="none"/>
          <w:rtl w:val="0"/>
          <w:lang w:val="en-US"/>
        </w:rPr>
        <w:t>B</w:t>
      </w:r>
      <w:r>
        <w:rPr>
          <w:b w:val="0"/>
          <w:bCs w:val="0"/>
          <w:i w:val="0"/>
          <w:iCs w:val="0"/>
          <w:u w:val="none"/>
          <w:vertAlign w:val="subscript"/>
          <w:rtl w:val="0"/>
          <w:lang w:val="en-US"/>
        </w:rPr>
        <w:t>4</w:t>
      </w:r>
      <w:r>
        <w:rPr>
          <w:b w:val="0"/>
          <w:bCs w:val="0"/>
          <w:i w:val="0"/>
          <w:iCs w:val="0"/>
          <w:u w:val="none"/>
          <w:rtl w:val="0"/>
          <w:lang w:val="en-US"/>
        </w:rPr>
        <w:t>O</w:t>
      </w:r>
      <w:r>
        <w:rPr>
          <w:b w:val="0"/>
          <w:bCs w:val="0"/>
          <w:i w:val="0"/>
          <w:iCs w:val="0"/>
          <w:u w:val="none"/>
          <w:vertAlign w:val="subscript"/>
          <w:rtl w:val="0"/>
          <w:lang w:val="en-US"/>
        </w:rPr>
        <w:t>12</w:t>
      </w:r>
      <w:r>
        <w:rPr>
          <w:b w:val="0"/>
          <w:bCs w:val="0"/>
          <w:i w:val="0"/>
          <w:iCs w:val="0"/>
          <w:u w:val="none"/>
          <w:rtl w:val="0"/>
          <w:lang w:val="en-US"/>
        </w:rPr>
        <w:t xml:space="preserve"> + 2OH</w:t>
      </w:r>
      <w:r>
        <w:rPr>
          <w:b w:val="0"/>
          <w:bCs w:val="0"/>
          <w:i w:val="0"/>
          <w:iCs w:val="0"/>
          <w:u w:val="none"/>
          <w:vertAlign w:val="superscript"/>
          <w:rtl w:val="0"/>
          <w:lang w:val="en-US"/>
        </w:rPr>
        <w:t xml:space="preserve">–                 </w:t>
      </w:r>
      <w:r>
        <w:rPr>
          <w:b w:val="0"/>
          <w:bCs w:val="0"/>
          <w:i w:val="1"/>
          <w:iCs w:val="1"/>
          <w:u w:val="none"/>
          <w:rtl w:val="0"/>
          <w:lang w:val="en-US"/>
        </w:rPr>
        <w:t>Note: H</w:t>
      </w:r>
      <w:r>
        <w:rPr>
          <w:b w:val="0"/>
          <w:bCs w:val="0"/>
          <w:i w:val="1"/>
          <w:iCs w:val="1"/>
          <w:u w:val="none"/>
          <w:vertAlign w:val="subscript"/>
          <w:rtl w:val="0"/>
          <w:lang w:val="en-US"/>
        </w:rPr>
        <w:t>12</w:t>
      </w:r>
      <w:r>
        <w:rPr>
          <w:b w:val="0"/>
          <w:bCs w:val="0"/>
          <w:i w:val="1"/>
          <w:iCs w:val="1"/>
          <w:u w:val="none"/>
          <w:rtl w:val="0"/>
          <w:lang w:val="en-US"/>
        </w:rPr>
        <w:t>B</w:t>
      </w:r>
      <w:r>
        <w:rPr>
          <w:b w:val="0"/>
          <w:bCs w:val="0"/>
          <w:i w:val="1"/>
          <w:iCs w:val="1"/>
          <w:u w:val="none"/>
          <w:vertAlign w:val="subscript"/>
          <w:rtl w:val="0"/>
          <w:lang w:val="en-US"/>
        </w:rPr>
        <w:t>4</w:t>
      </w:r>
      <w:r>
        <w:rPr>
          <w:b w:val="0"/>
          <w:bCs w:val="0"/>
          <w:i w:val="1"/>
          <w:iCs w:val="1"/>
          <w:u w:val="none"/>
          <w:rtl w:val="0"/>
          <w:lang w:val="en-US"/>
        </w:rPr>
        <w:t>O</w:t>
      </w:r>
      <w:r>
        <w:rPr>
          <w:b w:val="0"/>
          <w:bCs w:val="0"/>
          <w:i w:val="1"/>
          <w:iCs w:val="1"/>
          <w:u w:val="none"/>
          <w:vertAlign w:val="subscript"/>
          <w:rtl w:val="0"/>
          <w:lang w:val="en-US"/>
        </w:rPr>
        <w:t>12</w:t>
      </w:r>
      <w:r>
        <w:rPr>
          <w:b w:val="0"/>
          <w:bCs w:val="0"/>
          <w:i w:val="1"/>
          <w:iCs w:val="1"/>
          <w:u w:val="none"/>
          <w:rtl w:val="0"/>
          <w:lang w:val="en-US"/>
        </w:rPr>
        <w:t xml:space="preserve"> = 4B(OH)</w:t>
      </w:r>
      <w:r>
        <w:rPr>
          <w:b w:val="0"/>
          <w:bCs w:val="0"/>
          <w:i w:val="1"/>
          <w:iCs w:val="1"/>
          <w:u w:val="none"/>
          <w:vertAlign w:val="subscript"/>
          <w:rtl w:val="0"/>
          <w:lang w:val="en-US"/>
        </w:rPr>
        <w:t>3</w:t>
      </w:r>
      <w:r>
        <w:rPr>
          <w:b w:val="0"/>
          <w:bCs w:val="0"/>
          <w:i w:val="1"/>
          <w:iCs w:val="1"/>
          <w:u w:val="none"/>
          <w:rtl w:val="0"/>
          <w:lang w:val="en-US"/>
        </w:rPr>
        <w:t xml:space="preserve"> </w:t>
      </w:r>
    </w:p>
    <w:p>
      <w:pPr>
        <w:pStyle w:val="Body"/>
        <w:jc w:val="left"/>
        <w:rPr>
          <w:b w:val="0"/>
          <w:bCs w:val="0"/>
          <w:u w:val="none"/>
        </w:rPr>
      </w:pPr>
    </w:p>
    <w:p>
      <w:pPr>
        <w:pStyle w:val="Body"/>
        <w:jc w:val="left"/>
        <w:rPr>
          <w:b w:val="0"/>
          <w:bCs w:val="0"/>
          <w:u w:val="none"/>
        </w:rPr>
      </w:pPr>
      <w:r>
        <w:rPr>
          <w:b w:val="0"/>
          <w:bCs w:val="0"/>
          <w:u w:val="none"/>
          <w:rtl w:val="0"/>
          <w:lang w:val="en-US"/>
        </w:rPr>
        <w:t>With these reactions in mind, determine how much borax you will need to weigh to produce approximately 100 g of solution that is ~25 mM OH</w:t>
      </w:r>
      <w:r>
        <w:rPr>
          <w:b w:val="0"/>
          <w:bCs w:val="0"/>
          <w:u w:val="none"/>
          <w:vertAlign w:val="superscript"/>
          <w:rtl w:val="0"/>
          <w:lang w:val="en-US"/>
        </w:rPr>
        <w:t>–</w:t>
      </w:r>
      <w:r>
        <w:rPr>
          <w:b w:val="0"/>
          <w:bCs w:val="0"/>
          <w:u w:val="none"/>
          <w:rtl w:val="0"/>
          <w:lang w:val="en-US"/>
        </w:rPr>
        <w:t>.  For simplicity, assume that you are working with the anhydrous (</w:t>
      </w:r>
      <w:r>
        <w:rPr>
          <w:b w:val="0"/>
          <w:bCs w:val="0"/>
          <w:i w:val="1"/>
          <w:iCs w:val="1"/>
          <w:u w:val="none"/>
          <w:rtl w:val="0"/>
          <w:lang w:val="en-US"/>
        </w:rPr>
        <w:t>n</w:t>
      </w:r>
      <w:r>
        <w:rPr>
          <w:b w:val="0"/>
          <w:bCs w:val="0"/>
          <w:u w:val="none"/>
          <w:rtl w:val="0"/>
          <w:lang w:val="en-US"/>
        </w:rPr>
        <w:t xml:space="preserve"> =0) form of Borax.</w:t>
      </w:r>
    </w:p>
    <w:p>
      <w:pPr>
        <w:pStyle w:val="Body"/>
        <w:jc w:val="left"/>
        <w:rPr>
          <w:b w:val="0"/>
          <w:bCs w:val="0"/>
          <w:u w:val="none"/>
        </w:rPr>
      </w:pPr>
    </w:p>
    <w:p>
      <w:pPr>
        <w:pStyle w:val="Body"/>
        <w:jc w:val="left"/>
        <w:rPr>
          <w:b w:val="0"/>
          <w:bCs w:val="0"/>
          <w:u w:val="none"/>
        </w:rPr>
      </w:pPr>
      <w:r>
        <w:rPr>
          <w:b w:val="0"/>
          <w:bCs w:val="0"/>
          <w:u w:val="none"/>
          <w:rtl w:val="0"/>
          <w:lang w:val="en-US"/>
        </w:rPr>
        <w:t xml:space="preserve">Though the mass of Borax and water do not need to be explicitly know, as you are unsure of the chemical formula for the Borax, </w:t>
      </w:r>
      <w:r>
        <w:rPr>
          <w:b w:val="0"/>
          <w:bCs w:val="0"/>
          <w:u w:val="single"/>
          <w:rtl w:val="0"/>
          <w:lang w:val="en-US"/>
        </w:rPr>
        <w:t>it is crucial that all the solid Borax has dissolved before you use the solution as a titrant</w:t>
      </w:r>
      <w:r>
        <w:rPr>
          <w:b w:val="0"/>
          <w:bCs w:val="0"/>
          <w:u w:val="none"/>
          <w:rtl w:val="0"/>
          <w:lang w:val="en-US"/>
        </w:rPr>
        <w:t>.  Be patient as it can take some time to fully dissolve</w:t>
      </w:r>
    </w:p>
    <w:p>
      <w:pPr>
        <w:pStyle w:val="Body"/>
        <w:jc w:val="left"/>
        <w:rPr>
          <w:b w:val="0"/>
          <w:bCs w:val="0"/>
          <w:u w:val="none"/>
        </w:rPr>
      </w:pPr>
    </w:p>
    <w:p>
      <w:pPr>
        <w:pStyle w:val="Body"/>
        <w:jc w:val="left"/>
        <w:rPr>
          <w:b w:val="0"/>
          <w:bCs w:val="0"/>
          <w:u w:val="none"/>
        </w:rPr>
      </w:pPr>
      <w:r>
        <w:rPr>
          <w:b w:val="0"/>
          <w:bCs w:val="0"/>
          <w:u w:val="single"/>
          <w:rtl w:val="0"/>
          <w:lang w:val="en-US"/>
        </w:rPr>
        <w:t>Ammonia</w:t>
      </w:r>
    </w:p>
    <w:p>
      <w:pPr>
        <w:pStyle w:val="Body"/>
        <w:jc w:val="left"/>
        <w:rPr>
          <w:b w:val="0"/>
          <w:bCs w:val="0"/>
          <w:u w:val="none"/>
        </w:rPr>
      </w:pPr>
    </w:p>
    <w:p>
      <w:pPr>
        <w:pStyle w:val="Body"/>
        <w:jc w:val="left"/>
        <w:rPr>
          <w:b w:val="0"/>
          <w:bCs w:val="0"/>
          <w:u w:val="none"/>
        </w:rPr>
      </w:pPr>
      <w:r>
        <w:rPr>
          <w:b w:val="0"/>
          <w:bCs w:val="0"/>
          <w:u w:val="none"/>
          <w:rtl w:val="0"/>
          <w:lang w:val="en-US"/>
        </w:rPr>
        <w:t>Ammonia is another common cleaner that is also a suitable base for doing titrations.  The preparation of ammonia for commercial cleaning solutions is done by bubbling ammonia gas through pure water.  The ammonia dissolves, forming ammonium hydroxide an excellent base for acid-base titrations (see reaction below).</w:t>
      </w:r>
    </w:p>
    <w:p>
      <w:pPr>
        <w:pStyle w:val="Body"/>
        <w:jc w:val="left"/>
        <w:rPr>
          <w:b w:val="0"/>
          <w:bCs w:val="0"/>
          <w:u w:val="none"/>
        </w:rPr>
      </w:pPr>
    </w:p>
    <w:p>
      <w:pPr>
        <w:pStyle w:val="Body"/>
        <w:jc w:val="center"/>
        <w:rPr>
          <w:b w:val="0"/>
          <w:bCs w:val="0"/>
          <w:u w:val="none"/>
        </w:rPr>
      </w:pPr>
      <w:r>
        <w:rPr>
          <w:b w:val="0"/>
          <w:bCs w:val="0"/>
          <w:u w:val="none"/>
          <w:rtl w:val="0"/>
          <w:lang w:val="en-US"/>
        </w:rPr>
        <w:t>NH</w:t>
      </w:r>
      <w:r>
        <w:rPr>
          <w:b w:val="0"/>
          <w:bCs w:val="0"/>
          <w:u w:val="none"/>
          <w:vertAlign w:val="subscript"/>
          <w:rtl w:val="0"/>
          <w:lang w:val="en-US"/>
        </w:rPr>
        <w:t>3(g)</w:t>
      </w:r>
      <w:r>
        <w:rPr>
          <w:b w:val="0"/>
          <w:bCs w:val="0"/>
          <w:u w:val="none"/>
          <w:rtl w:val="0"/>
          <w:lang w:val="en-US"/>
        </w:rPr>
        <w:t xml:space="preserve"> + H</w:t>
      </w:r>
      <w:r>
        <w:rPr>
          <w:b w:val="0"/>
          <w:bCs w:val="0"/>
          <w:u w:val="none"/>
          <w:vertAlign w:val="subscript"/>
          <w:rtl w:val="0"/>
          <w:lang w:val="en-US"/>
        </w:rPr>
        <w:t>2</w:t>
      </w:r>
      <w:r>
        <w:rPr>
          <w:b w:val="0"/>
          <w:bCs w:val="0"/>
          <w:u w:val="none"/>
          <w:rtl w:val="0"/>
          <w:lang w:val="en-US"/>
        </w:rPr>
        <w:t xml:space="preserve">O </w:t>
      </w:r>
      <w:r>
        <w:rPr>
          <w:rFonts w:ascii="Arial Unicode MS" w:cs="Arial Unicode MS" w:hAnsi="Arial Unicode MS" w:eastAsia="Arial Unicode MS" w:hint="default"/>
          <w:b w:val="0"/>
          <w:bCs w:val="0"/>
          <w:i w:val="0"/>
          <w:iCs w:val="0"/>
          <w:u w:val="none"/>
          <w:rtl w:val="0"/>
          <w:lang w:val="en-US"/>
        </w:rPr>
        <w:t>⇄</w:t>
      </w:r>
      <w:r>
        <w:rPr>
          <w:b w:val="0"/>
          <w:bCs w:val="0"/>
          <w:u w:val="none"/>
          <w:rtl w:val="0"/>
          <w:lang w:val="en-US"/>
        </w:rPr>
        <w:t xml:space="preserve"> </w:t>
      </w:r>
      <w:r>
        <w:rPr>
          <w:b w:val="0"/>
          <w:bCs w:val="0"/>
          <w:u w:val="none"/>
          <w:rtl w:val="0"/>
          <w:lang w:val="en-US"/>
        </w:rPr>
        <w:t>NH</w:t>
      </w:r>
      <w:r>
        <w:rPr>
          <w:b w:val="0"/>
          <w:bCs w:val="0"/>
          <w:u w:val="none"/>
          <w:vertAlign w:val="subscript"/>
          <w:rtl w:val="0"/>
          <w:lang w:val="en-US"/>
        </w:rPr>
        <w:t>4</w:t>
      </w:r>
      <w:r>
        <w:rPr>
          <w:b w:val="0"/>
          <w:bCs w:val="0"/>
          <w:u w:val="none"/>
          <w:vertAlign w:val="superscript"/>
          <w:rtl w:val="0"/>
          <w:lang w:val="en-US"/>
        </w:rPr>
        <w:t>+</w:t>
      </w:r>
      <w:r>
        <w:rPr>
          <w:b w:val="0"/>
          <w:bCs w:val="0"/>
          <w:u w:val="none"/>
          <w:rtl w:val="0"/>
          <w:lang w:val="en-US"/>
        </w:rPr>
        <w:t xml:space="preserve"> + OH</w:t>
      </w:r>
      <w:r>
        <w:rPr>
          <w:b w:val="0"/>
          <w:bCs w:val="0"/>
          <w:u w:val="none"/>
          <w:vertAlign w:val="superscript"/>
          <w:rtl w:val="0"/>
          <w:lang w:val="en-US"/>
        </w:rPr>
        <w:t>–</w:t>
      </w:r>
    </w:p>
    <w:p>
      <w:pPr>
        <w:pStyle w:val="Body"/>
        <w:jc w:val="left"/>
        <w:rPr>
          <w:b w:val="0"/>
          <w:bCs w:val="0"/>
          <w:u w:val="none"/>
        </w:rPr>
      </w:pPr>
    </w:p>
    <w:p>
      <w:pPr>
        <w:pStyle w:val="Body"/>
        <w:jc w:val="left"/>
        <w:rPr>
          <w:b w:val="0"/>
          <w:bCs w:val="0"/>
          <w:u w:val="none"/>
        </w:rPr>
      </w:pPr>
      <w:r>
        <w:rPr>
          <w:b w:val="0"/>
          <w:bCs w:val="0"/>
          <w:u w:val="none"/>
          <w:rtl w:val="0"/>
          <w:lang w:val="en-US"/>
        </w:rPr>
        <w:t>Much like with the Borax, it is difficult to know the exact concentration of ammonia in commercial ammonia solutions.  Typically solutions of ammonia are between 5% and 10% ammonia by weight.  So for your analysis assume that the ammonia cleaning solution you have is 7.5% (w/w) NH</w:t>
      </w:r>
      <w:r>
        <w:rPr>
          <w:b w:val="0"/>
          <w:bCs w:val="0"/>
          <w:u w:val="none"/>
          <w:vertAlign w:val="subscript"/>
          <w:rtl w:val="0"/>
          <w:lang w:val="en-US"/>
        </w:rPr>
        <w:t>3</w:t>
      </w:r>
      <w:r>
        <w:rPr>
          <w:b w:val="0"/>
          <w:bCs w:val="0"/>
          <w:u w:val="none"/>
          <w:rtl w:val="0"/>
          <w:lang w:val="en-US"/>
        </w:rPr>
        <w:t xml:space="preserve"> in water.  Use this information, and the equilibrium above to prepare about 100 g of a titrant solution that will be ~20 mM NH</w:t>
      </w:r>
      <w:r>
        <w:rPr>
          <w:b w:val="0"/>
          <w:bCs w:val="0"/>
          <w:u w:val="none"/>
          <w:vertAlign w:val="subscript"/>
          <w:rtl w:val="0"/>
          <w:lang w:val="en-US"/>
        </w:rPr>
        <w:t>4</w:t>
      </w:r>
      <w:r>
        <w:rPr>
          <w:b w:val="0"/>
          <w:bCs w:val="0"/>
          <w:u w:val="none"/>
          <w:rtl w:val="0"/>
          <w:lang w:val="en-US"/>
        </w:rPr>
        <w:t>OH.  As with other measurements, you will need to weigh the amount of ammonia cleaner and the amount of water that you mix with it.</w:t>
      </w:r>
    </w:p>
    <w:p>
      <w:pPr>
        <w:pStyle w:val="Body"/>
        <w:jc w:val="left"/>
        <w:rPr>
          <w:b w:val="0"/>
          <w:bCs w:val="0"/>
          <w:u w:val="none"/>
        </w:rPr>
      </w:pPr>
    </w:p>
    <w:p>
      <w:pPr>
        <w:pStyle w:val="Body"/>
        <w:jc w:val="left"/>
        <w:rPr>
          <w:b w:val="0"/>
          <w:bCs w:val="0"/>
          <w:u w:val="none"/>
        </w:rPr>
      </w:pPr>
    </w:p>
    <w:p>
      <w:pPr>
        <w:pStyle w:val="Body"/>
        <w:jc w:val="left"/>
        <w:rPr>
          <w:b w:val="0"/>
          <w:bCs w:val="0"/>
          <w:u w:val="none"/>
        </w:rPr>
      </w:pPr>
      <w:r>
        <w:rPr>
          <w:b w:val="0"/>
          <w:bCs w:val="0"/>
          <w:u w:val="single"/>
          <w:rtl w:val="0"/>
          <w:lang w:val="en-US"/>
        </w:rPr>
        <w:t>Unknown preparation</w:t>
      </w:r>
      <w:r>
        <w:rPr>
          <w:b w:val="0"/>
          <w:bCs w:val="0"/>
          <w:u w:val="single"/>
        </w:rPr>
        <w:drawing xmlns:a="http://schemas.openxmlformats.org/drawingml/2006/main">
          <wp:anchor distT="152400" distB="152400" distL="152400" distR="152400" simplePos="0" relativeHeight="251663360" behindDoc="0" locked="0" layoutInCell="1" allowOverlap="1">
            <wp:simplePos x="0" y="0"/>
            <wp:positionH relativeFrom="margin">
              <wp:posOffset>3976906</wp:posOffset>
            </wp:positionH>
            <wp:positionV relativeFrom="line">
              <wp:posOffset>254315</wp:posOffset>
            </wp:positionV>
            <wp:extent cx="1706595" cy="1852164"/>
            <wp:effectExtent l="0" t="0" r="0" b="0"/>
            <wp:wrapThrough wrapText="bothSides" distL="152400" distR="152400">
              <wp:wrapPolygon edited="1">
                <wp:start x="0" y="0"/>
                <wp:lineTo x="0" y="21601"/>
                <wp:lineTo x="21600" y="21601"/>
                <wp:lineTo x="21600" y="0"/>
                <wp:lineTo x="0" y="0"/>
              </wp:wrapPolygon>
            </wp:wrapThrough>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G_0924.jpeg"/>
                    <pic:cNvPicPr>
                      <a:picLocks noChangeAspect="1"/>
                    </pic:cNvPicPr>
                  </pic:nvPicPr>
                  <pic:blipFill>
                    <a:blip r:embed="rId8">
                      <a:extLst/>
                    </a:blip>
                    <a:srcRect l="24401" t="10876" r="17035" b="4379"/>
                    <a:stretch>
                      <a:fillRect/>
                    </a:stretch>
                  </pic:blipFill>
                  <pic:spPr>
                    <a:xfrm>
                      <a:off x="0" y="0"/>
                      <a:ext cx="1706595" cy="1852164"/>
                    </a:xfrm>
                    <a:prstGeom prst="rect">
                      <a:avLst/>
                    </a:prstGeom>
                    <a:ln w="12700" cap="flat">
                      <a:noFill/>
                      <a:miter lim="400000"/>
                    </a:ln>
                    <a:effectLst/>
                  </pic:spPr>
                </pic:pic>
              </a:graphicData>
            </a:graphic>
          </wp:anchor>
        </w:drawing>
      </w:r>
    </w:p>
    <w:p>
      <w:pPr>
        <w:pStyle w:val="Body"/>
        <w:jc w:val="left"/>
        <w:rPr>
          <w:b w:val="0"/>
          <w:bCs w:val="0"/>
          <w:u w:val="none"/>
        </w:rPr>
      </w:pPr>
    </w:p>
    <w:p>
      <w:pPr>
        <w:pStyle w:val="Body"/>
        <w:jc w:val="left"/>
        <w:rPr>
          <w:b w:val="0"/>
          <w:bCs w:val="0"/>
          <w:u w:val="none"/>
        </w:rPr>
      </w:pPr>
      <w:r>
        <w:rPr>
          <w:b w:val="0"/>
          <w:bCs w:val="0"/>
          <w:u w:val="none"/>
          <w:rtl w:val="0"/>
          <w:lang w:val="en-US"/>
        </w:rPr>
        <w:t>For your unknown you will be given either a lime or a lemon concentrate solution.  These solutions are very acidic, as they are prepared from concentrated (evaporated) citrus juices.  In fact, the concentrates are much more concentrated than your titrant and standard acid solutions.  As such you will need to dilute the citrus concentrate in order to have a solution that can be titrated with a reasonable amount of titrant.</w:t>
      </w:r>
    </w:p>
    <w:p>
      <w:pPr>
        <w:pStyle w:val="Body"/>
        <w:jc w:val="left"/>
        <w:rPr>
          <w:b w:val="0"/>
          <w:bCs w:val="0"/>
          <w:u w:val="none"/>
        </w:rPr>
      </w:pPr>
    </w:p>
    <w:p>
      <w:pPr>
        <w:pStyle w:val="Body"/>
        <w:jc w:val="left"/>
        <w:rPr>
          <w:b w:val="0"/>
          <w:bCs w:val="0"/>
          <w:u w:val="none"/>
        </w:rPr>
      </w:pPr>
      <w:r>
        <w:rPr>
          <w:b w:val="0"/>
          <w:bCs w:val="0"/>
          <w:u w:val="none"/>
          <w:rtl w:val="0"/>
          <w:lang w:val="en-US"/>
        </w:rPr>
        <w:t xml:space="preserve">To do this dispense some of the citrus concentrate into a clean weighed beaker, and </w:t>
      </w:r>
      <w:r>
        <w:rPr>
          <w:b w:val="1"/>
          <w:bCs w:val="1"/>
          <w:u w:val="none"/>
          <w:rtl w:val="0"/>
          <w:lang w:val="en-US"/>
        </w:rPr>
        <w:t>record the exact mass of citrus concentrate delivered</w:t>
      </w:r>
      <w:r>
        <w:rPr>
          <w:b w:val="0"/>
          <w:bCs w:val="0"/>
          <w:u w:val="none"/>
          <w:rtl w:val="0"/>
          <w:lang w:val="en-US"/>
        </w:rPr>
        <w:t xml:space="preserve">.  Then add distilled water until the acid has been diluted by a factor of 50 to 75 fold, </w:t>
      </w:r>
      <w:r>
        <w:rPr>
          <w:b w:val="1"/>
          <w:bCs w:val="1"/>
          <w:u w:val="none"/>
          <w:rtl w:val="0"/>
          <w:lang w:val="en-US"/>
        </w:rPr>
        <w:t>record the mass of water added to the acid</w:t>
      </w:r>
      <w:r>
        <w:rPr>
          <w:b w:val="0"/>
          <w:bCs w:val="0"/>
          <w:u w:val="none"/>
          <w:rtl w:val="0"/>
          <w:lang w:val="en-US"/>
        </w:rPr>
        <w:t>.</w:t>
      </w:r>
    </w:p>
    <w:p>
      <w:pPr>
        <w:pStyle w:val="Body"/>
        <w:jc w:val="left"/>
        <w:rPr>
          <w:b w:val="0"/>
          <w:bCs w:val="0"/>
          <w:u w:val="none"/>
        </w:rPr>
      </w:pPr>
    </w:p>
    <w:p>
      <w:pPr>
        <w:pStyle w:val="Body"/>
        <w:jc w:val="left"/>
        <w:rPr>
          <w:b w:val="0"/>
          <w:bCs w:val="0"/>
          <w:u w:val="none"/>
        </w:rPr>
      </w:pPr>
      <w:r>
        <w:rPr>
          <w:b w:val="0"/>
          <w:bCs w:val="0"/>
          <w:u w:val="single"/>
          <w:rtl w:val="0"/>
          <w:lang w:val="en-US"/>
        </w:rPr>
        <w:t>Syringe Preparation</w:t>
      </w:r>
    </w:p>
    <w:p>
      <w:pPr>
        <w:pStyle w:val="Body"/>
        <w:jc w:val="left"/>
        <w:rPr>
          <w:b w:val="0"/>
          <w:bCs w:val="0"/>
          <w:u w:val="none"/>
        </w:rPr>
      </w:pPr>
    </w:p>
    <w:p>
      <w:pPr>
        <w:pStyle w:val="Body"/>
        <w:jc w:val="left"/>
        <w:rPr>
          <w:b w:val="0"/>
          <w:bCs w:val="0"/>
          <w:u w:val="none"/>
        </w:rPr>
      </w:pPr>
      <w:r>
        <w:rPr>
          <w:b w:val="0"/>
          <w:bCs w:val="0"/>
          <w:u w:val="none"/>
          <w:rtl w:val="0"/>
          <w:lang w:val="en-US"/>
        </w:rPr>
        <w:t>For this lab you will be using syringes to controllably dispense the analyte and titrant solutions.  Your kit will contain several 10 mL syringes, label three of them as: Standard Acid, Titrant, and Unknown Acid (or something equivalent).  Only use the designated syringe with the respective solution to avoid contamination.</w:t>
      </w:r>
    </w:p>
    <w:p>
      <w:pPr>
        <w:pStyle w:val="Body"/>
        <w:jc w:val="left"/>
        <w:rPr>
          <w:b w:val="0"/>
          <w:bCs w:val="0"/>
          <w:u w:val="none"/>
        </w:rPr>
      </w:pPr>
    </w:p>
    <w:p>
      <w:pPr>
        <w:pStyle w:val="Body"/>
        <w:jc w:val="left"/>
        <w:rPr>
          <w:b w:val="0"/>
          <w:bCs w:val="0"/>
          <w:u w:val="none"/>
        </w:rPr>
      </w:pPr>
      <w:r>
        <w:rPr>
          <w:b w:val="0"/>
          <w:bCs w:val="0"/>
          <w:u w:val="none"/>
          <w:rtl w:val="0"/>
          <w:lang w:val="en-US"/>
        </w:rPr>
        <w:t xml:space="preserve">To better control the delivery of liquid from the syringes you have been given several plastic </w:t>
      </w:r>
      <w:r>
        <w:rPr>
          <w:b w:val="0"/>
          <w:bCs w:val="0"/>
          <w:u w:val="none"/>
          <w:rtl w:val="0"/>
          <w:lang w:val="en-US"/>
        </w:rPr>
        <w:t>“</w:t>
      </w:r>
      <w:r>
        <w:rPr>
          <w:b w:val="0"/>
          <w:bCs w:val="0"/>
          <w:u w:val="none"/>
          <w:rtl w:val="0"/>
          <w:lang w:val="en-US"/>
        </w:rPr>
        <w:t>tips</w:t>
      </w:r>
      <w:r>
        <w:rPr>
          <w:b w:val="0"/>
          <w:bCs w:val="0"/>
          <w:u w:val="none"/>
          <w:rtl w:val="0"/>
          <w:lang w:val="en-US"/>
        </w:rPr>
        <w:t xml:space="preserve">” </w:t>
      </w:r>
      <w:r>
        <w:rPr>
          <w:b w:val="0"/>
          <w:bCs w:val="0"/>
          <w:u w:val="none"/>
          <w:rtl w:val="0"/>
          <w:lang w:val="en-US"/>
        </w:rPr>
        <w:t>for the syringes.  These will fit tightly on the tip of each syringe and allow you to deliver very small droplets of solution if you desire.</w:t>
      </w:r>
      <w:r>
        <w:rPr>
          <w:b w:val="0"/>
          <w:bCs w:val="0"/>
          <w:u w:val="none"/>
        </w:rPr>
        <mc:AlternateContent>
          <mc:Choice Requires="wpg">
            <w:drawing xmlns:a="http://schemas.openxmlformats.org/drawingml/2006/main">
              <wp:anchor distT="152400" distB="152400" distL="152400" distR="152400" simplePos="0" relativeHeight="251664384" behindDoc="0" locked="0" layoutInCell="1" allowOverlap="1">
                <wp:simplePos x="0" y="0"/>
                <wp:positionH relativeFrom="margin">
                  <wp:posOffset>688879</wp:posOffset>
                </wp:positionH>
                <wp:positionV relativeFrom="line">
                  <wp:posOffset>176832</wp:posOffset>
                </wp:positionV>
                <wp:extent cx="4565841" cy="2083384"/>
                <wp:effectExtent l="0" t="0" r="0" b="0"/>
                <wp:wrapTopAndBottom distT="152400" distB="152400"/>
                <wp:docPr id="1073741840" name="officeArt object"/>
                <wp:cNvGraphicFramePr/>
                <a:graphic xmlns:a="http://schemas.openxmlformats.org/drawingml/2006/main">
                  <a:graphicData uri="http://schemas.microsoft.com/office/word/2010/wordprocessingGroup">
                    <wpg:wgp>
                      <wpg:cNvGrpSpPr/>
                      <wpg:grpSpPr>
                        <a:xfrm>
                          <a:off x="0" y="0"/>
                          <a:ext cx="4565841" cy="2083384"/>
                          <a:chOff x="0" y="0"/>
                          <a:chExt cx="4565840" cy="2083383"/>
                        </a:xfrm>
                      </wpg:grpSpPr>
                      <pic:pic xmlns:pic="http://schemas.openxmlformats.org/drawingml/2006/picture">
                        <pic:nvPicPr>
                          <pic:cNvPr id="1073741837" name="IMG_0917.jpeg"/>
                          <pic:cNvPicPr>
                            <a:picLocks noChangeAspect="1"/>
                          </pic:cNvPicPr>
                        </pic:nvPicPr>
                        <pic:blipFill>
                          <a:blip r:embed="rId9">
                            <a:extLst/>
                          </a:blip>
                          <a:srcRect l="27533" t="19669" r="22234" b="37048"/>
                          <a:stretch>
                            <a:fillRect/>
                          </a:stretch>
                        </pic:blipFill>
                        <pic:spPr>
                          <a:xfrm>
                            <a:off x="-1" y="-1"/>
                            <a:ext cx="1510661" cy="976216"/>
                          </a:xfrm>
                          <a:prstGeom prst="rect">
                            <a:avLst/>
                          </a:prstGeom>
                          <a:ln w="12700" cap="flat">
                            <a:noFill/>
                            <a:miter lim="400000"/>
                          </a:ln>
                          <a:effectLst/>
                        </pic:spPr>
                      </pic:pic>
                      <pic:pic xmlns:pic="http://schemas.openxmlformats.org/drawingml/2006/picture">
                        <pic:nvPicPr>
                          <pic:cNvPr id="1073741838" name="IMG_0918.jpeg"/>
                          <pic:cNvPicPr>
                            <a:picLocks noChangeAspect="1"/>
                          </pic:cNvPicPr>
                        </pic:nvPicPr>
                        <pic:blipFill>
                          <a:blip r:embed="rId10">
                            <a:extLst/>
                          </a:blip>
                          <a:srcRect l="0" t="16406" r="0" b="27543"/>
                          <a:stretch>
                            <a:fillRect/>
                          </a:stretch>
                        </pic:blipFill>
                        <pic:spPr>
                          <a:xfrm>
                            <a:off x="2243543" y="0"/>
                            <a:ext cx="2322298" cy="976247"/>
                          </a:xfrm>
                          <a:prstGeom prst="rect">
                            <a:avLst/>
                          </a:prstGeom>
                          <a:ln w="12700" cap="flat">
                            <a:noFill/>
                            <a:miter lim="400000"/>
                          </a:ln>
                          <a:effectLst/>
                        </pic:spPr>
                      </pic:pic>
                      <pic:pic xmlns:pic="http://schemas.openxmlformats.org/drawingml/2006/picture">
                        <pic:nvPicPr>
                          <pic:cNvPr id="1073741839" name="IMG_0919.jpeg"/>
                          <pic:cNvPicPr>
                            <a:picLocks noChangeAspect="1"/>
                          </pic:cNvPicPr>
                        </pic:nvPicPr>
                        <pic:blipFill>
                          <a:blip r:embed="rId11">
                            <a:extLst/>
                          </a:blip>
                          <a:srcRect l="0" t="12806" r="10271" b="22841"/>
                          <a:stretch>
                            <a:fillRect/>
                          </a:stretch>
                        </pic:blipFill>
                        <pic:spPr>
                          <a:xfrm>
                            <a:off x="1257407" y="1107223"/>
                            <a:ext cx="1814811" cy="976161"/>
                          </a:xfrm>
                          <a:prstGeom prst="rect">
                            <a:avLst/>
                          </a:prstGeom>
                          <a:ln w="12700" cap="flat">
                            <a:noFill/>
                            <a:miter lim="400000"/>
                          </a:ln>
                          <a:effectLst/>
                        </pic:spPr>
                      </pic:pic>
                    </wpg:wgp>
                  </a:graphicData>
                </a:graphic>
              </wp:anchor>
            </w:drawing>
          </mc:Choice>
          <mc:Fallback>
            <w:pict>
              <v:group id="_x0000_s1035" style="visibility:visible;position:absolute;margin-left:54.2pt;margin-top:13.9pt;width:359.5pt;height:164.0pt;z-index:251664384;mso-position-horizontal:absolute;mso-position-horizontal-relative:margin;mso-position-vertical:absolute;mso-position-vertical-relative:line;mso-wrap-distance-left:12.0pt;mso-wrap-distance-top:12.0pt;mso-wrap-distance-right:12.0pt;mso-wrap-distance-bottom:12.0pt;" coordorigin="0,0" coordsize="4565841,2083384">
                <w10:wrap type="topAndBottom" side="bothSides" anchorx="margin"/>
                <v:shape id="_x0000_s1036" type="#_x0000_t75" style="position:absolute;left:0;top:0;width:1510660;height:976214;">
                  <v:imagedata r:id="rId9" o:title="IMG_0917.jpeg" cropleft="27.5%" cropright="22.2%" croptop="19.7%" cropbottom="37.0%"/>
                </v:shape>
                <v:shape id="_x0000_s1037" type="#_x0000_t75" style="position:absolute;left:2243544;top:0;width:2322297;height:976246;">
                  <v:imagedata r:id="rId10" o:title="IMG_0918.jpeg" cropright="0.0%" croptop="16.4%" cropbottom="27.5%"/>
                </v:shape>
                <v:shape id="_x0000_s1038" type="#_x0000_t75" style="position:absolute;left:1257407;top:1107223;width:1814811;height:976161;">
                  <v:imagedata r:id="rId11" o:title="IMG_0919.jpeg" cropright="10.3%" croptop="12.8%" cropbottom="22.8%"/>
                </v:shape>
              </v:group>
            </w:pict>
          </mc:Fallback>
        </mc:AlternateContent>
      </w:r>
    </w:p>
    <w:p>
      <w:pPr>
        <w:pStyle w:val="Body"/>
        <w:jc w:val="left"/>
        <w:rPr>
          <w:b w:val="0"/>
          <w:bCs w:val="0"/>
          <w:u w:val="none"/>
        </w:rPr>
      </w:pPr>
    </w:p>
    <w:p>
      <w:pPr>
        <w:pStyle w:val="Body"/>
        <w:jc w:val="left"/>
        <w:rPr>
          <w:b w:val="0"/>
          <w:bCs w:val="0"/>
          <w:u w:val="none"/>
        </w:rPr>
      </w:pPr>
      <w:r>
        <w:rPr>
          <w:b w:val="0"/>
          <w:bCs w:val="0"/>
          <w:u w:val="none"/>
          <w:rtl w:val="0"/>
          <w:lang w:val="en-US"/>
        </w:rPr>
        <w:t xml:space="preserve">Once each solution is </w:t>
      </w:r>
      <w:r>
        <w:rPr>
          <w:b w:val="0"/>
          <w:bCs w:val="0"/>
          <w:i w:val="1"/>
          <w:iCs w:val="1"/>
          <w:u w:val="none"/>
          <w:rtl w:val="0"/>
          <w:lang w:val="en-US"/>
        </w:rPr>
        <w:t>prepared and fully dissolved</w:t>
      </w:r>
      <w:r>
        <w:rPr>
          <w:b w:val="0"/>
          <w:bCs w:val="0"/>
          <w:u w:val="none"/>
          <w:rtl w:val="0"/>
          <w:lang w:val="en-US"/>
        </w:rPr>
        <w:t>, and the syringes are assembled rinse each syringe with their respective solution.  You are encouraged to draw the solution up into the syringe and dispense it back into the same stock container several times if you wish to get a feel for how smoothly the syringe plungers move.</w:t>
      </w:r>
    </w:p>
    <w:p>
      <w:pPr>
        <w:pStyle w:val="Body"/>
        <w:jc w:val="left"/>
        <w:rPr>
          <w:b w:val="0"/>
          <w:bCs w:val="0"/>
          <w:u w:val="none"/>
        </w:rPr>
      </w:pPr>
    </w:p>
    <w:p>
      <w:pPr>
        <w:pStyle w:val="Body"/>
        <w:jc w:val="left"/>
        <w:rPr>
          <w:b w:val="0"/>
          <w:bCs w:val="0"/>
          <w:u w:val="none"/>
        </w:rPr>
      </w:pPr>
      <w:r>
        <w:rPr>
          <w:b w:val="0"/>
          <w:bCs w:val="0"/>
          <w:u w:val="none"/>
          <w:rtl w:val="0"/>
          <w:lang w:val="en-US"/>
        </w:rPr>
        <w:t>One advantage of using a syringe is that you can draw droplets back into the syringe if you do not want them to fall from the tip.</w:t>
      </w:r>
    </w:p>
    <w:p>
      <w:pPr>
        <w:pStyle w:val="Body"/>
        <w:jc w:val="left"/>
        <w:rPr>
          <w:b w:val="0"/>
          <w:bCs w:val="0"/>
          <w:u w:val="none"/>
        </w:rPr>
      </w:pPr>
    </w:p>
    <w:p>
      <w:pPr>
        <w:pStyle w:val="Body"/>
        <w:jc w:val="left"/>
        <w:rPr>
          <w:b w:val="0"/>
          <w:bCs w:val="0"/>
          <w:u w:val="none"/>
        </w:rPr>
      </w:pPr>
      <w:r>
        <w:rPr>
          <w:b w:val="0"/>
          <w:bCs w:val="0"/>
          <w:u w:val="none"/>
          <w:rtl w:val="0"/>
          <w:lang w:val="en-US"/>
        </w:rPr>
        <w:t xml:space="preserve">Also note that drawing air into the syringe will not change the mass of the syringe and any liquid inside of it. </w:t>
      </w:r>
    </w:p>
    <w:p>
      <w:pPr>
        <w:pStyle w:val="Body"/>
        <w:jc w:val="left"/>
        <w:rPr>
          <w:b w:val="0"/>
          <w:bCs w:val="0"/>
          <w:u w:val="none"/>
        </w:rPr>
      </w:pPr>
    </w:p>
    <w:p>
      <w:pPr>
        <w:pStyle w:val="Body"/>
        <w:jc w:val="left"/>
        <w:rPr>
          <w:b w:val="0"/>
          <w:bCs w:val="0"/>
          <w:u w:val="none"/>
        </w:rPr>
      </w:pPr>
      <w:r>
        <w:rPr>
          <w:b w:val="0"/>
          <w:bCs w:val="0"/>
          <w:u w:val="single"/>
          <w:rtl w:val="0"/>
          <w:lang w:val="en-US"/>
        </w:rPr>
        <w:t>Indicator color check</w:t>
      </w:r>
    </w:p>
    <w:p>
      <w:pPr>
        <w:pStyle w:val="Body"/>
        <w:jc w:val="left"/>
        <w:rPr>
          <w:b w:val="0"/>
          <w:bCs w:val="0"/>
          <w:u w:val="none"/>
        </w:rPr>
      </w:pPr>
    </w:p>
    <w:p>
      <w:pPr>
        <w:pStyle w:val="Body"/>
        <w:jc w:val="left"/>
        <w:rPr>
          <w:b w:val="0"/>
          <w:bCs w:val="0"/>
          <w:u w:val="none"/>
        </w:rPr>
      </w:pPr>
      <w:r>
        <w:rPr>
          <w:b w:val="0"/>
          <w:bCs w:val="0"/>
          <w:u w:val="none"/>
          <w:rtl w:val="0"/>
          <w:lang w:val="en-US"/>
        </w:rPr>
        <w:t>It is advisable to observe the color of the indicator in both acidic and basic solutions before starting your titrations.  Add a small amount (4-5 mL) of your stock acid to a clean beaker and add to this ~1 mL of the indicator.  In a separate clean beaker repeat this process with a small amount of your titrant.  You may find it easier to see the colors by placing a white background under the beakers.</w:t>
      </w:r>
    </w:p>
    <w:p>
      <w:pPr>
        <w:pStyle w:val="Body"/>
        <w:jc w:val="left"/>
        <w:rPr>
          <w:b w:val="0"/>
          <w:bCs w:val="0"/>
          <w:u w:val="none"/>
        </w:rPr>
      </w:pPr>
      <w:r>
        <w:rPr>
          <w:b w:val="0"/>
          <w:bCs w:val="0"/>
          <w:u w:val="none"/>
        </w:rPr>
        <w:drawing xmlns:a="http://schemas.openxmlformats.org/drawingml/2006/main">
          <wp:anchor distT="152400" distB="152400" distL="152400" distR="152400" simplePos="0" relativeHeight="251665408" behindDoc="0" locked="0" layoutInCell="1" allowOverlap="1">
            <wp:simplePos x="0" y="0"/>
            <wp:positionH relativeFrom="margin">
              <wp:posOffset>3475232</wp:posOffset>
            </wp:positionH>
            <wp:positionV relativeFrom="line">
              <wp:posOffset>275907</wp:posOffset>
            </wp:positionV>
            <wp:extent cx="2598980" cy="2241172"/>
            <wp:effectExtent l="0" t="0" r="0" b="0"/>
            <wp:wrapThrough wrapText="bothSides" distL="152400" distR="152400">
              <wp:wrapPolygon edited="1">
                <wp:start x="0" y="0"/>
                <wp:lineTo x="0" y="21600"/>
                <wp:lineTo x="21601" y="21600"/>
                <wp:lineTo x="21601" y="0"/>
                <wp:lineTo x="0" y="0"/>
              </wp:wrapPolygon>
            </wp:wrapThrough>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IMG_0921.jpeg"/>
                    <pic:cNvPicPr>
                      <a:picLocks noChangeAspect="1"/>
                    </pic:cNvPicPr>
                  </pic:nvPicPr>
                  <pic:blipFill>
                    <a:blip r:embed="rId12">
                      <a:extLst/>
                    </a:blip>
                    <a:srcRect l="15435" t="3864" r="8208" b="8343"/>
                    <a:stretch>
                      <a:fillRect/>
                    </a:stretch>
                  </pic:blipFill>
                  <pic:spPr>
                    <a:xfrm>
                      <a:off x="0" y="0"/>
                      <a:ext cx="2598980" cy="2241172"/>
                    </a:xfrm>
                    <a:prstGeom prst="rect">
                      <a:avLst/>
                    </a:prstGeom>
                    <a:ln w="12700" cap="flat">
                      <a:noFill/>
                      <a:miter lim="400000"/>
                    </a:ln>
                    <a:effectLst/>
                  </pic:spPr>
                </pic:pic>
              </a:graphicData>
            </a:graphic>
          </wp:anchor>
        </w:drawing>
      </w:r>
    </w:p>
    <w:p>
      <w:pPr>
        <w:pStyle w:val="Body"/>
        <w:jc w:val="left"/>
        <w:rPr>
          <w:b w:val="0"/>
          <w:bCs w:val="0"/>
          <w:u w:val="none"/>
        </w:rPr>
      </w:pPr>
      <w:r>
        <w:rPr>
          <w:b w:val="0"/>
          <w:bCs w:val="0"/>
          <w:u w:val="single"/>
          <w:rtl w:val="0"/>
          <w:lang w:val="en-US"/>
        </w:rPr>
        <w:t>Titrant Standardization</w:t>
      </w:r>
    </w:p>
    <w:p>
      <w:pPr>
        <w:pStyle w:val="Body"/>
        <w:jc w:val="left"/>
        <w:rPr>
          <w:b w:val="0"/>
          <w:bCs w:val="0"/>
          <w:u w:val="none"/>
        </w:rPr>
      </w:pPr>
    </w:p>
    <w:p>
      <w:pPr>
        <w:pStyle w:val="Body"/>
        <w:jc w:val="left"/>
        <w:rPr>
          <w:b w:val="0"/>
          <w:bCs w:val="0"/>
          <w:u w:val="none"/>
        </w:rPr>
      </w:pPr>
      <w:r>
        <w:rPr>
          <w:b w:val="0"/>
          <w:bCs w:val="0"/>
          <w:u w:val="none"/>
          <w:rtl w:val="0"/>
          <w:lang w:val="en-US"/>
        </w:rPr>
        <w:t xml:space="preserve">Once your cream of tartar has fully dissolved draw 8-10 mL of the solution into your standard acid syringe.  </w:t>
      </w:r>
      <w:r>
        <w:rPr>
          <w:b w:val="1"/>
          <w:bCs w:val="1"/>
          <w:u w:val="none"/>
          <w:rtl w:val="0"/>
          <w:lang w:val="en-US"/>
        </w:rPr>
        <w:t xml:space="preserve">Record the mass of the syringe and solution </w:t>
      </w:r>
      <w:r>
        <w:rPr>
          <w:b w:val="0"/>
          <w:bCs w:val="0"/>
          <w:u w:val="none"/>
          <w:rtl w:val="0"/>
          <w:lang w:val="en-US"/>
        </w:rPr>
        <w:t xml:space="preserve">using the digital scale and syringe stand.  Dispense some (3-5 mL) of the solution into a clean beaker and </w:t>
      </w:r>
      <w:r>
        <w:rPr>
          <w:b w:val="1"/>
          <w:bCs w:val="1"/>
          <w:u w:val="none"/>
          <w:rtl w:val="0"/>
          <w:lang w:val="en-US"/>
        </w:rPr>
        <w:t>record the new mass of the syringe and solution</w:t>
      </w:r>
      <w:r>
        <w:rPr>
          <w:b w:val="0"/>
          <w:bCs w:val="0"/>
          <w:u w:val="none"/>
          <w:rtl w:val="0"/>
          <w:lang w:val="en-US"/>
        </w:rPr>
        <w:t>, the difference is obviously the amount of solution that was dispensed.</w:t>
      </w:r>
    </w:p>
    <w:p>
      <w:pPr>
        <w:pStyle w:val="Body"/>
        <w:jc w:val="left"/>
        <w:rPr>
          <w:b w:val="0"/>
          <w:bCs w:val="0"/>
          <w:u w:val="none"/>
        </w:rPr>
      </w:pPr>
    </w:p>
    <w:p>
      <w:pPr>
        <w:pStyle w:val="Body"/>
        <w:jc w:val="left"/>
        <w:rPr>
          <w:b w:val="0"/>
          <w:bCs w:val="0"/>
          <w:u w:val="none"/>
        </w:rPr>
      </w:pPr>
      <w:r>
        <w:rPr>
          <w:b w:val="0"/>
          <w:bCs w:val="0"/>
          <w:u w:val="none"/>
          <w:rtl w:val="0"/>
          <w:lang w:val="en-US"/>
        </w:rPr>
        <w:t>Now add about 1 mL of the turmeric indicator and place the beaker on a white sheet of paper, paper towel or napkin to help you see the color.  If the color seems too faint you can add a few more drops of indicator solution.</w:t>
      </w:r>
    </w:p>
    <w:p>
      <w:pPr>
        <w:pStyle w:val="Body"/>
        <w:jc w:val="left"/>
        <w:rPr>
          <w:b w:val="0"/>
          <w:bCs w:val="0"/>
          <w:u w:val="none"/>
        </w:rPr>
      </w:pPr>
    </w:p>
    <w:p>
      <w:pPr>
        <w:pStyle w:val="Body"/>
        <w:jc w:val="left"/>
        <w:rPr>
          <w:b w:val="0"/>
          <w:bCs w:val="0"/>
          <w:u w:val="none"/>
        </w:rPr>
      </w:pPr>
      <w:r>
        <w:rPr>
          <w:b w:val="0"/>
          <w:bCs w:val="0"/>
          <w:u w:val="none"/>
          <w:rtl w:val="0"/>
          <w:lang w:val="en-US"/>
        </w:rPr>
        <w:t xml:space="preserve">Draw 8-10 mL of your titrant solution into titrant syringe and </w:t>
      </w:r>
      <w:r>
        <w:rPr>
          <w:b w:val="1"/>
          <w:bCs w:val="1"/>
          <w:u w:val="none"/>
          <w:rtl w:val="0"/>
          <w:lang w:val="en-US"/>
        </w:rPr>
        <w:t>record the mass</w:t>
      </w:r>
      <w:r>
        <w:rPr>
          <w:b w:val="0"/>
          <w:bCs w:val="0"/>
          <w:u w:val="none"/>
          <w:rtl w:val="0"/>
          <w:lang w:val="en-US"/>
        </w:rPr>
        <w:t xml:space="preserve">.  Slowly dispense the titrant solution into your measured acid solution, swirling the beaker to ensure proper mixing.  Continue to add titrant until you see the appearance of a red/brown color.  </w:t>
      </w:r>
      <w:r>
        <w:rPr>
          <w:b w:val="1"/>
          <w:bCs w:val="1"/>
          <w:u w:val="none"/>
          <w:rtl w:val="0"/>
          <w:lang w:val="en-US"/>
        </w:rPr>
        <w:t>When your titration is complete record the new mass of your titrant syringe</w:t>
      </w:r>
      <w:r>
        <w:rPr>
          <w:b w:val="0"/>
          <w:bCs w:val="0"/>
          <w:u w:val="none"/>
          <w:rtl w:val="0"/>
          <w:lang w:val="en-US"/>
        </w:rPr>
        <w:t>.</w:t>
      </w:r>
    </w:p>
    <w:p>
      <w:pPr>
        <w:pStyle w:val="Body"/>
        <w:jc w:val="left"/>
        <w:rPr>
          <w:b w:val="0"/>
          <w:bCs w:val="0"/>
          <w:u w:val="none"/>
        </w:rPr>
      </w:pPr>
    </w:p>
    <w:p>
      <w:pPr>
        <w:pStyle w:val="Body"/>
        <w:jc w:val="left"/>
        <w:rPr>
          <w:b w:val="0"/>
          <w:bCs w:val="0"/>
          <w:u w:val="none"/>
        </w:rPr>
      </w:pPr>
      <w:r>
        <w:rPr>
          <w:b w:val="0"/>
          <w:bCs w:val="0"/>
          <w:u w:val="single"/>
          <w:rtl w:val="0"/>
          <w:lang w:val="en-US"/>
        </w:rPr>
        <w:t xml:space="preserve">Repeat this titration at least three times, however you should continue to do titrations until you are confident in your results. </w:t>
      </w:r>
      <w:r>
        <w:rPr>
          <w:b w:val="0"/>
          <w:bCs w:val="0"/>
          <w:u w:val="none"/>
          <w:rtl w:val="0"/>
          <w:lang w:val="en-US"/>
        </w:rPr>
        <w:t xml:space="preserve"> Note that for replicate titrations the mass of titrant required will be proportional to the mass of acid used.  So if you use a larger amount of acid, you will need a larger amount of titrant to reach the equivalence point.  You can perform a quick check to approximate how much titrant you will need by making a ratio of the mass of acid used to the mass of titrant used in a successful titration.</w:t>
      </w:r>
    </w:p>
    <w:p>
      <w:pPr>
        <w:pStyle w:val="Body"/>
        <w:jc w:val="left"/>
        <w:rPr>
          <w:b w:val="0"/>
          <w:bCs w:val="0"/>
          <w:u w:val="none"/>
        </w:rPr>
      </w:pPr>
    </w:p>
    <w:p>
      <w:pPr>
        <w:pStyle w:val="Body"/>
        <w:jc w:val="left"/>
        <w:rPr>
          <w:b w:val="0"/>
          <w:bCs w:val="0"/>
          <w:u w:val="none"/>
        </w:rPr>
      </w:pPr>
    </w:p>
    <w:p>
      <w:pPr>
        <w:pStyle w:val="Body"/>
        <w:jc w:val="left"/>
        <w:rPr>
          <w:b w:val="0"/>
          <w:bCs w:val="0"/>
          <w:u w:val="none"/>
        </w:rPr>
      </w:pPr>
    </w:p>
    <w:p>
      <w:pPr>
        <w:pStyle w:val="Body"/>
        <w:jc w:val="left"/>
        <w:rPr>
          <w:b w:val="0"/>
          <w:bCs w:val="0"/>
          <w:u w:val="none"/>
        </w:rPr>
      </w:pPr>
    </w:p>
    <w:p>
      <w:pPr>
        <w:pStyle w:val="Body"/>
        <w:jc w:val="left"/>
        <w:rPr>
          <w:b w:val="0"/>
          <w:bCs w:val="0"/>
          <w:u w:val="none"/>
        </w:rPr>
      </w:pPr>
      <w:r>
        <w:rPr>
          <w:b w:val="0"/>
          <w:bCs w:val="0"/>
          <w:u w:val="single"/>
          <w:rtl w:val="0"/>
          <w:lang w:val="en-US"/>
        </w:rPr>
        <w:t>Unknown Titration</w:t>
      </w:r>
    </w:p>
    <w:p>
      <w:pPr>
        <w:pStyle w:val="Body"/>
        <w:jc w:val="left"/>
        <w:rPr>
          <w:b w:val="0"/>
          <w:bCs w:val="0"/>
          <w:u w:val="none"/>
        </w:rPr>
      </w:pPr>
    </w:p>
    <w:p>
      <w:pPr>
        <w:pStyle w:val="Body"/>
        <w:jc w:val="left"/>
        <w:rPr>
          <w:b w:val="0"/>
          <w:bCs w:val="0"/>
          <w:u w:val="none"/>
        </w:rPr>
      </w:pPr>
      <w:r>
        <w:rPr>
          <w:b w:val="0"/>
          <w:bCs w:val="0"/>
          <w:u w:val="none"/>
          <w:rtl w:val="0"/>
          <w:lang w:val="en-US"/>
        </w:rPr>
        <w:t>For the titration of your diluted citrus concentrate repeat the same process as with the acid standard.  R</w:t>
      </w:r>
      <w:r>
        <w:rPr>
          <w:b w:val="1"/>
          <w:bCs w:val="1"/>
          <w:u w:val="none"/>
          <w:rtl w:val="0"/>
          <w:lang w:val="en-US"/>
        </w:rPr>
        <w:t>ecord the mass of the unknown added to a clean beaker, add the indicator solution, and record the mass of titrant required to reach the endpoint</w:t>
      </w:r>
      <w:r>
        <w:rPr>
          <w:b w:val="0"/>
          <w:bCs w:val="0"/>
          <w:u w:val="none"/>
          <w:rtl w:val="0"/>
          <w:lang w:val="en-US"/>
        </w:rPr>
        <w:t xml:space="preserve">.  </w:t>
      </w:r>
      <w:r>
        <w:rPr>
          <w:b w:val="0"/>
          <w:bCs w:val="0"/>
          <w:u w:val="single"/>
          <w:rtl w:val="0"/>
          <w:lang w:val="en-US"/>
        </w:rPr>
        <w:t>Repeat this titration at least three times, however you should continue to do titrations until you are confident in your results</w:t>
      </w:r>
      <w:r>
        <w:rPr>
          <w:b w:val="0"/>
          <w:bCs w:val="0"/>
          <w:u w:val="none"/>
          <w:rtl w:val="0"/>
          <w:lang w:val="en-US"/>
        </w:rPr>
        <w:t>.</w:t>
      </w:r>
    </w:p>
    <w:p>
      <w:pPr>
        <w:pStyle w:val="Body"/>
        <w:jc w:val="left"/>
        <w:rPr>
          <w:b w:val="0"/>
          <w:bCs w:val="0"/>
          <w:u w:val="single"/>
        </w:rPr>
      </w:pPr>
    </w:p>
    <w:p>
      <w:pPr>
        <w:pStyle w:val="Body"/>
        <w:jc w:val="left"/>
        <w:rPr>
          <w:b w:val="0"/>
          <w:bCs w:val="0"/>
          <w:u w:val="none"/>
        </w:rPr>
      </w:pPr>
      <w:r>
        <w:rPr>
          <w:b w:val="0"/>
          <w:bCs w:val="0"/>
          <w:u w:val="none"/>
          <w:rtl w:val="0"/>
          <w:lang w:val="en-US"/>
        </w:rPr>
        <w:t>If for your first titration you do not reach the endpoint before you use all the solution in your titrant syringe you can take either option below to make the next titrations successful:</w:t>
      </w:r>
    </w:p>
    <w:p>
      <w:pPr>
        <w:pStyle w:val="Body"/>
        <w:numPr>
          <w:ilvl w:val="2"/>
          <w:numId w:val="6"/>
        </w:numPr>
        <w:jc w:val="left"/>
        <w:rPr>
          <w:b w:val="1"/>
          <w:bCs w:val="1"/>
          <w:u w:val="single"/>
          <w:lang w:val="en-US"/>
        </w:rPr>
      </w:pPr>
      <w:r>
        <w:rPr>
          <w:b w:val="0"/>
          <w:bCs w:val="0"/>
          <w:u w:val="none"/>
          <w:rtl w:val="0"/>
          <w:lang w:val="en-US"/>
        </w:rPr>
        <w:t>Use half as much of the unknown solution for your next titration (e.g. ~1 gram instead of ~2 grams).</w:t>
      </w:r>
    </w:p>
    <w:p>
      <w:pPr>
        <w:pStyle w:val="Body"/>
        <w:numPr>
          <w:ilvl w:val="2"/>
          <w:numId w:val="6"/>
        </w:numPr>
        <w:jc w:val="left"/>
        <w:rPr>
          <w:b w:val="1"/>
          <w:bCs w:val="1"/>
          <w:u w:val="single"/>
          <w:lang w:val="en-US"/>
        </w:rPr>
      </w:pPr>
      <w:r>
        <w:rPr>
          <w:b w:val="0"/>
          <w:bCs w:val="0"/>
          <w:u w:val="none"/>
          <w:rtl w:val="0"/>
          <w:lang w:val="en-US"/>
        </w:rPr>
        <w:t>Make a new unknown solution, using less of the citrus concentrate and more water.</w:t>
      </w:r>
    </w:p>
    <w:p>
      <w:pPr>
        <w:pStyle w:val="Body"/>
        <w:jc w:val="left"/>
        <w:rPr>
          <w:b w:val="0"/>
          <w:bCs w:val="0"/>
          <w:u w:val="none"/>
        </w:rPr>
      </w:pPr>
    </w:p>
    <w:p>
      <w:pPr>
        <w:pStyle w:val="Body"/>
        <w:jc w:val="left"/>
        <w:rPr>
          <w:b w:val="0"/>
          <w:bCs w:val="0"/>
          <w:u w:val="none"/>
        </w:rPr>
      </w:pPr>
    </w:p>
    <w:p>
      <w:pPr>
        <w:pStyle w:val="Body"/>
        <w:jc w:val="left"/>
        <w:rPr>
          <w:b w:val="0"/>
          <w:bCs w:val="0"/>
          <w:u w:val="none"/>
        </w:rPr>
      </w:pPr>
    </w:p>
    <w:p>
      <w:pPr>
        <w:pStyle w:val="Body"/>
        <w:jc w:val="left"/>
        <w:rPr>
          <w:b w:val="0"/>
          <w:bCs w:val="0"/>
          <w:u w:val="none"/>
        </w:rPr>
      </w:pPr>
      <w:r>
        <w:rPr>
          <w:b w:val="0"/>
          <w:bCs w:val="0"/>
          <w:u w:val="single"/>
          <w:rtl w:val="0"/>
          <w:lang w:val="en-US"/>
        </w:rPr>
        <w:t>Calculations</w:t>
      </w:r>
    </w:p>
    <w:p>
      <w:pPr>
        <w:pStyle w:val="Body"/>
        <w:jc w:val="left"/>
        <w:rPr>
          <w:b w:val="0"/>
          <w:bCs w:val="0"/>
          <w:u w:val="none"/>
        </w:rPr>
      </w:pPr>
    </w:p>
    <w:p>
      <w:pPr>
        <w:pStyle w:val="Body"/>
        <w:jc w:val="left"/>
        <w:rPr>
          <w:b w:val="0"/>
          <w:bCs w:val="0"/>
          <w:u w:val="none"/>
        </w:rPr>
      </w:pPr>
      <w:r>
        <w:rPr>
          <w:b w:val="0"/>
          <w:bCs w:val="0"/>
          <w:u w:val="none"/>
          <w:rtl w:val="0"/>
          <w:lang w:val="en-US"/>
        </w:rPr>
        <w:t>Unlike volumetric titrations the calculations for this lab will be done primary by mass, as such you will get some unusual units (i.e. mol/g) as concentrations.  However so long as you pay close attention to the units that you are using you will find that they will cancel out much as volumes do in volumetric titrations.</w:t>
      </w:r>
    </w:p>
    <w:p>
      <w:pPr>
        <w:pStyle w:val="Body"/>
        <w:jc w:val="left"/>
        <w:rPr>
          <w:b w:val="0"/>
          <w:bCs w:val="0"/>
          <w:u w:val="none"/>
        </w:rPr>
      </w:pPr>
    </w:p>
    <w:p>
      <w:pPr>
        <w:pStyle w:val="Body"/>
        <w:jc w:val="left"/>
        <w:rPr>
          <w:b w:val="0"/>
          <w:bCs w:val="0"/>
          <w:u w:val="none"/>
        </w:rPr>
      </w:pPr>
      <w:r>
        <w:rPr>
          <w:b w:val="1"/>
          <w:bCs w:val="1"/>
          <w:u w:val="none"/>
          <w:rtl w:val="0"/>
          <w:lang w:val="en-US"/>
        </w:rPr>
        <w:t>For this analysis you are tasked with determining the concentration of acid in the citrus concentrate.</w:t>
      </w:r>
      <w:r>
        <w:rPr>
          <w:b w:val="0"/>
          <w:bCs w:val="0"/>
          <w:u w:val="none"/>
          <w:rtl w:val="0"/>
          <w:lang w:val="en-US"/>
        </w:rPr>
        <w:t xml:space="preserve">  </w:t>
      </w:r>
      <w:r>
        <w:rPr>
          <w:b w:val="1"/>
          <w:bCs w:val="1"/>
          <w:u w:val="none"/>
          <w:rtl w:val="0"/>
          <w:lang w:val="en-US"/>
        </w:rPr>
        <w:t xml:space="preserve">You are to report your answer in moles equivalents of acid per gram of concentrate solution (mol/g). </w:t>
      </w:r>
      <w:r>
        <w:rPr>
          <w:b w:val="0"/>
          <w:bCs w:val="0"/>
          <w:u w:val="none"/>
          <w:rtl w:val="0"/>
          <w:lang w:val="en-US"/>
        </w:rPr>
        <w:t xml:space="preserve"> We can only report the equivalent number of moles of acid as we are unsure what the exact acids are that are present in the concentrate, certainly citric acid is present, but other acids are also present in citrus fruits (e.g. malic acid, oxalic acid, succinic acid</w:t>
      </w:r>
      <w:r>
        <w:rPr>
          <w:b w:val="0"/>
          <w:bCs w:val="0"/>
          <w:u w:val="none"/>
          <w:rtl w:val="0"/>
          <w:lang w:val="en-US"/>
        </w:rPr>
        <w:t>…</w:t>
      </w:r>
      <w:r>
        <w:rPr>
          <w:b w:val="0"/>
          <w:bCs w:val="0"/>
          <w:u w:val="none"/>
          <w:rtl w:val="0"/>
          <w:lang w:val="en-US"/>
        </w:rPr>
        <w:t>).</w:t>
      </w:r>
    </w:p>
    <w:p>
      <w:pPr>
        <w:pStyle w:val="Body"/>
        <w:jc w:val="left"/>
        <w:rPr>
          <w:b w:val="0"/>
          <w:bCs w:val="0"/>
          <w:u w:val="none"/>
        </w:rPr>
      </w:pPr>
    </w:p>
    <w:p>
      <w:pPr>
        <w:pStyle w:val="Body"/>
        <w:jc w:val="left"/>
        <w:rPr>
          <w:b w:val="0"/>
          <w:bCs w:val="0"/>
          <w:u w:val="none"/>
        </w:rPr>
      </w:pPr>
      <w:r>
        <w:rPr>
          <w:b w:val="0"/>
          <w:bCs w:val="0"/>
          <w:u w:val="single"/>
          <w:rtl w:val="0"/>
          <w:lang w:val="en-US"/>
        </w:rPr>
        <w:t>Waste Disposal</w:t>
      </w:r>
    </w:p>
    <w:p>
      <w:pPr>
        <w:pStyle w:val="Body"/>
        <w:jc w:val="left"/>
        <w:rPr>
          <w:b w:val="0"/>
          <w:bCs w:val="0"/>
          <w:u w:val="none"/>
        </w:rPr>
      </w:pPr>
    </w:p>
    <w:p>
      <w:pPr>
        <w:pStyle w:val="Body"/>
        <w:jc w:val="left"/>
      </w:pPr>
      <w:r>
        <w:rPr>
          <w:b w:val="0"/>
          <w:bCs w:val="0"/>
          <w:u w:val="none"/>
          <w:rtl w:val="0"/>
          <w:lang w:val="en-US"/>
        </w:rPr>
        <w:t>As all these chemicals are either food or cleaning products there is no harm in disposing of them down your kitchen sink.  It is advisable to dispose of them with copious amounts of water, as the turmeric indicator can temporarily stain some surfaces.</w:t>
      </w:r>
    </w:p>
    <w:sectPr>
      <w:headerReference w:type="default" r:id="rId13"/>
      <w:footerReference w:type="default" r:id="rId14"/>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b w:val="1"/>
        <w:bCs w:val="1"/>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Lettered"/>
  </w:abstractNum>
  <w:abstractNum w:abstractNumId="5">
    <w:multiLevelType w:val="hybridMultilevel"/>
    <w:styleLink w:val="Lettered"/>
    <w:lvl w:ilvl="0">
      <w:start w:val="1"/>
      <w:numFmt w:val="upperLetter"/>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 w:type="numbering" w:styleId="Bullet">
    <w:name w:val="Bullet"/>
    <w:pPr>
      <w:numPr>
        <w:numId w:val="1"/>
      </w:numPr>
    </w:pPr>
  </w:style>
  <w:style w:type="numbering" w:styleId="Numbered">
    <w:name w:val="Numbered"/>
    <w:pPr>
      <w:numPr>
        <w:numId w:val="3"/>
      </w:numPr>
    </w:pPr>
  </w:style>
  <w:style w:type="numbering" w:styleId="Lettered">
    <w:name w:val="Lettered"/>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1.pn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