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53C" w:rsidRPr="009366E3" w:rsidRDefault="009366E3" w:rsidP="009366E3">
      <w:pPr>
        <w:rPr>
          <w:rFonts w:ascii="Adobe Garamond Pro" w:hAnsi="Adobe Garamond Pro"/>
          <w:b/>
          <w:bCs/>
        </w:rPr>
      </w:pPr>
      <w:bookmarkStart w:id="0" w:name="_GoBack"/>
      <w:bookmarkEnd w:id="0"/>
      <w:r w:rsidRPr="009366E3">
        <w:rPr>
          <w:rFonts w:ascii="Adobe Garamond Pro" w:hAnsi="Adobe Garamond Pro"/>
          <w:b/>
          <w:bCs/>
        </w:rPr>
        <w:t>Filename</w:t>
      </w:r>
      <w:r>
        <w:rPr>
          <w:rFonts w:ascii="Adobe Garamond Pro" w:hAnsi="Adobe Garamond Pro"/>
          <w:b/>
          <w:bCs/>
        </w:rPr>
        <w:t xml:space="preserve">: </w:t>
      </w:r>
      <w:r w:rsidRPr="009366E3">
        <w:rPr>
          <w:rFonts w:ascii="Adobe Garamond Pro" w:hAnsi="Adobe Garamond Pro"/>
        </w:rPr>
        <w:t>CuCoCrNi.xlsx</w:t>
      </w:r>
    </w:p>
    <w:p w:rsidR="009366E3" w:rsidRPr="009366E3" w:rsidRDefault="009366E3">
      <w:pPr>
        <w:rPr>
          <w:rFonts w:ascii="Adobe Garamond Pro" w:hAnsi="Adobe Garamond Pro"/>
        </w:rPr>
      </w:pPr>
    </w:p>
    <w:p w:rsidR="009366E3" w:rsidRPr="009366E3" w:rsidRDefault="009366E3" w:rsidP="00E55FE1">
      <w:pPr>
        <w:jc w:val="both"/>
        <w:rPr>
          <w:rFonts w:ascii="Adobe Garamond Pro" w:hAnsi="Adobe Garamond Pro"/>
        </w:rPr>
      </w:pPr>
      <w:r w:rsidRPr="009366E3">
        <w:rPr>
          <w:rFonts w:ascii="Adobe Garamond Pro" w:hAnsi="Adobe Garamond Pro"/>
          <w:b/>
          <w:bCs/>
        </w:rPr>
        <w:t>File Structure</w:t>
      </w:r>
      <w:r>
        <w:rPr>
          <w:rFonts w:ascii="Adobe Garamond Pro" w:hAnsi="Adobe Garamond Pro"/>
          <w:b/>
          <w:bCs/>
        </w:rPr>
        <w:t xml:space="preserve">: </w:t>
      </w:r>
      <w:r w:rsidRPr="009366E3">
        <w:rPr>
          <w:rFonts w:ascii="Adobe Garamond Pro" w:hAnsi="Adobe Garamond Pro"/>
        </w:rPr>
        <w:t>visible spectra</w:t>
      </w:r>
      <w:r w:rsidR="00E55FE1">
        <w:rPr>
          <w:rFonts w:ascii="Adobe Garamond Pro" w:hAnsi="Adobe Garamond Pro"/>
        </w:rPr>
        <w:t xml:space="preserve"> recorded at 642 wavelengths (380.5 nm – 899.5 nm)</w:t>
      </w:r>
      <w:r w:rsidRPr="009366E3">
        <w:rPr>
          <w:rFonts w:ascii="Adobe Garamond Pro" w:hAnsi="Adobe Garamond Pro"/>
        </w:rPr>
        <w:t xml:space="preserve"> for 80 solutions that contain </w:t>
      </w:r>
      <w:r w:rsidR="00E55FE1">
        <w:rPr>
          <w:rFonts w:ascii="Adobe Garamond Pro" w:hAnsi="Adobe Garamond Pro"/>
        </w:rPr>
        <w:t>1 – 4</w:t>
      </w:r>
      <w:r w:rsidRPr="009366E3">
        <w:rPr>
          <w:rFonts w:ascii="Adobe Garamond Pro" w:hAnsi="Adobe Garamond Pro"/>
        </w:rPr>
        <w:t xml:space="preserve"> of Cu</w:t>
      </w:r>
      <w:r w:rsidRPr="009366E3">
        <w:rPr>
          <w:rFonts w:ascii="Adobe Garamond Pro" w:hAnsi="Adobe Garamond Pro"/>
          <w:vertAlign w:val="superscript"/>
        </w:rPr>
        <w:t>2+</w:t>
      </w:r>
      <w:r w:rsidRPr="009366E3">
        <w:rPr>
          <w:rFonts w:ascii="Adobe Garamond Pro" w:hAnsi="Adobe Garamond Pro"/>
        </w:rPr>
        <w:t>, Co</w:t>
      </w:r>
      <w:r w:rsidRPr="009366E3">
        <w:rPr>
          <w:rFonts w:ascii="Adobe Garamond Pro" w:hAnsi="Adobe Garamond Pro"/>
          <w:vertAlign w:val="superscript"/>
        </w:rPr>
        <w:t>2+</w:t>
      </w:r>
      <w:r w:rsidRPr="009366E3">
        <w:rPr>
          <w:rFonts w:ascii="Adobe Garamond Pro" w:hAnsi="Adobe Garamond Pro"/>
        </w:rPr>
        <w:t>, Cr</w:t>
      </w:r>
      <w:r w:rsidRPr="009366E3">
        <w:rPr>
          <w:rFonts w:ascii="Adobe Garamond Pro" w:hAnsi="Adobe Garamond Pro"/>
          <w:vertAlign w:val="superscript"/>
        </w:rPr>
        <w:t>3+</w:t>
      </w:r>
      <w:r w:rsidRPr="009366E3">
        <w:rPr>
          <w:rFonts w:ascii="Adobe Garamond Pro" w:hAnsi="Adobe Garamond Pro"/>
        </w:rPr>
        <w:t>, or Ni</w:t>
      </w:r>
      <w:r w:rsidRPr="009366E3">
        <w:rPr>
          <w:rFonts w:ascii="Adobe Garamond Pro" w:hAnsi="Adobe Garamond Pro"/>
          <w:vertAlign w:val="superscript"/>
        </w:rPr>
        <w:t>2+</w:t>
      </w:r>
      <w:r w:rsidRPr="009366E3">
        <w:rPr>
          <w:rFonts w:ascii="Adobe Garamond Pro" w:hAnsi="Adobe Garamond Pro"/>
        </w:rPr>
        <w:t xml:space="preserve"> in 0.10 M HNO</w:t>
      </w:r>
      <w:r w:rsidRPr="009366E3">
        <w:rPr>
          <w:rFonts w:ascii="Adobe Garamond Pro" w:hAnsi="Adobe Garamond Pro"/>
          <w:vertAlign w:val="subscript"/>
        </w:rPr>
        <w:t>3</w:t>
      </w:r>
      <w:r>
        <w:rPr>
          <w:rFonts w:ascii="Adobe Garamond Pro" w:hAnsi="Adobe Garamond Pro"/>
        </w:rPr>
        <w:t>, recorded using a Vernier SpectroVis Plus spectrometer using LoggerPro, and exported as a .csv file</w:t>
      </w:r>
    </w:p>
    <w:p w:rsidR="009366E3" w:rsidRPr="009366E3" w:rsidRDefault="009366E3" w:rsidP="009366E3">
      <w:pPr>
        <w:rPr>
          <w:rFonts w:ascii="Adobe Garamond Pro" w:hAnsi="Adobe Garamond Pro"/>
          <w:b/>
          <w:bCs/>
        </w:rPr>
      </w:pPr>
    </w:p>
    <w:p w:rsidR="009366E3" w:rsidRDefault="009366E3" w:rsidP="009366E3">
      <w:pPr>
        <w:pStyle w:val="ListParagraph"/>
        <w:numPr>
          <w:ilvl w:val="0"/>
          <w:numId w:val="2"/>
        </w:numPr>
        <w:ind w:left="36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column a: id for sample</w:t>
      </w:r>
    </w:p>
    <w:p w:rsidR="009366E3" w:rsidRDefault="009366E3" w:rsidP="009366E3">
      <w:pPr>
        <w:pStyle w:val="ListParagraph"/>
        <w:numPr>
          <w:ilvl w:val="0"/>
          <w:numId w:val="2"/>
        </w:numPr>
        <w:ind w:left="36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column b: list of analytes in the sample</w:t>
      </w:r>
    </w:p>
    <w:p w:rsidR="009366E3" w:rsidRDefault="009366E3" w:rsidP="009366E3">
      <w:pPr>
        <w:pStyle w:val="ListParagraph"/>
        <w:numPr>
          <w:ilvl w:val="0"/>
          <w:numId w:val="2"/>
        </w:numPr>
        <w:ind w:left="36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column c: number of analytes in the sample (labeled as dimension)</w:t>
      </w:r>
    </w:p>
    <w:p w:rsidR="009366E3" w:rsidRPr="009366E3" w:rsidRDefault="009366E3" w:rsidP="009366E3">
      <w:pPr>
        <w:pStyle w:val="ListParagraph"/>
        <w:numPr>
          <w:ilvl w:val="0"/>
          <w:numId w:val="2"/>
        </w:numPr>
        <w:ind w:left="36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column d: concentration of Cu</w:t>
      </w:r>
      <w:r w:rsidRPr="009366E3">
        <w:rPr>
          <w:rFonts w:ascii="Adobe Garamond Pro" w:hAnsi="Adobe Garamond Pro"/>
          <w:vertAlign w:val="superscript"/>
        </w:rPr>
        <w:t>2+</w:t>
      </w:r>
      <w:r>
        <w:rPr>
          <w:rFonts w:ascii="Adobe Garamond Pro" w:hAnsi="Adobe Garamond Pro"/>
        </w:rPr>
        <w:t xml:space="preserve"> (prepared from single stock solution of 0.0500 M Cu</w:t>
      </w:r>
      <w:r w:rsidRPr="009366E3">
        <w:rPr>
          <w:rFonts w:ascii="Adobe Garamond Pro" w:hAnsi="Adobe Garamond Pro"/>
          <w:vertAlign w:val="superscript"/>
        </w:rPr>
        <w:t>2+</w:t>
      </w:r>
      <w:r>
        <w:rPr>
          <w:rFonts w:ascii="Adobe Garamond Pro" w:hAnsi="Adobe Garamond Pro"/>
        </w:rPr>
        <w:t>)</w:t>
      </w:r>
    </w:p>
    <w:p w:rsidR="009366E3" w:rsidRPr="009366E3" w:rsidRDefault="009366E3" w:rsidP="009366E3">
      <w:pPr>
        <w:pStyle w:val="ListParagraph"/>
        <w:numPr>
          <w:ilvl w:val="0"/>
          <w:numId w:val="2"/>
        </w:numPr>
        <w:ind w:left="36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column e: concentration of Co</w:t>
      </w:r>
      <w:r w:rsidRPr="009366E3">
        <w:rPr>
          <w:rFonts w:ascii="Adobe Garamond Pro" w:hAnsi="Adobe Garamond Pro"/>
          <w:vertAlign w:val="superscript"/>
        </w:rPr>
        <w:t>2+</w:t>
      </w:r>
      <w:r>
        <w:rPr>
          <w:rFonts w:ascii="Adobe Garamond Pro" w:hAnsi="Adobe Garamond Pro"/>
          <w:vertAlign w:val="superscript"/>
        </w:rPr>
        <w:t xml:space="preserve"> </w:t>
      </w:r>
      <w:r>
        <w:rPr>
          <w:rFonts w:ascii="Adobe Garamond Pro" w:hAnsi="Adobe Garamond Pro"/>
        </w:rPr>
        <w:t>(prepared from single stock solution of 0.100 M Co</w:t>
      </w:r>
      <w:r w:rsidRPr="009366E3">
        <w:rPr>
          <w:rFonts w:ascii="Adobe Garamond Pro" w:hAnsi="Adobe Garamond Pro"/>
          <w:vertAlign w:val="superscript"/>
        </w:rPr>
        <w:t>2+</w:t>
      </w:r>
      <w:r>
        <w:rPr>
          <w:rFonts w:ascii="Adobe Garamond Pro" w:hAnsi="Adobe Garamond Pro"/>
        </w:rPr>
        <w:t>)</w:t>
      </w:r>
    </w:p>
    <w:p w:rsidR="009366E3" w:rsidRPr="009366E3" w:rsidRDefault="009366E3" w:rsidP="009366E3">
      <w:pPr>
        <w:pStyle w:val="ListParagraph"/>
        <w:numPr>
          <w:ilvl w:val="0"/>
          <w:numId w:val="2"/>
        </w:numPr>
        <w:ind w:left="36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column f: concentration of Cr</w:t>
      </w:r>
      <w:r>
        <w:rPr>
          <w:rFonts w:ascii="Adobe Garamond Pro" w:hAnsi="Adobe Garamond Pro"/>
          <w:vertAlign w:val="superscript"/>
        </w:rPr>
        <w:t>3</w:t>
      </w:r>
      <w:r w:rsidRPr="009366E3">
        <w:rPr>
          <w:rFonts w:ascii="Adobe Garamond Pro" w:hAnsi="Adobe Garamond Pro"/>
          <w:vertAlign w:val="superscript"/>
        </w:rPr>
        <w:t>+</w:t>
      </w:r>
      <w:r>
        <w:rPr>
          <w:rFonts w:ascii="Adobe Garamond Pro" w:hAnsi="Adobe Garamond Pro"/>
          <w:vertAlign w:val="superscript"/>
        </w:rPr>
        <w:t xml:space="preserve"> </w:t>
      </w:r>
      <w:r>
        <w:rPr>
          <w:rFonts w:ascii="Adobe Garamond Pro" w:hAnsi="Adobe Garamond Pro"/>
        </w:rPr>
        <w:t>(prepared from single stock solution of 0.0375 M Cr</w:t>
      </w:r>
      <w:r w:rsidRPr="009366E3">
        <w:rPr>
          <w:rFonts w:ascii="Adobe Garamond Pro" w:hAnsi="Adobe Garamond Pro"/>
          <w:vertAlign w:val="superscript"/>
        </w:rPr>
        <w:t>2+</w:t>
      </w:r>
      <w:r>
        <w:rPr>
          <w:rFonts w:ascii="Adobe Garamond Pro" w:hAnsi="Adobe Garamond Pro"/>
        </w:rPr>
        <w:t>)</w:t>
      </w:r>
    </w:p>
    <w:p w:rsidR="009366E3" w:rsidRDefault="009366E3" w:rsidP="009366E3">
      <w:pPr>
        <w:pStyle w:val="ListParagraph"/>
        <w:numPr>
          <w:ilvl w:val="0"/>
          <w:numId w:val="2"/>
        </w:numPr>
        <w:ind w:left="36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column g: concentration of Ni</w:t>
      </w:r>
      <w:r w:rsidRPr="009366E3">
        <w:rPr>
          <w:rFonts w:ascii="Adobe Garamond Pro" w:hAnsi="Adobe Garamond Pro"/>
          <w:vertAlign w:val="superscript"/>
        </w:rPr>
        <w:t>2+</w:t>
      </w:r>
      <w:r>
        <w:rPr>
          <w:rFonts w:ascii="Adobe Garamond Pro" w:hAnsi="Adobe Garamond Pro"/>
          <w:vertAlign w:val="superscript"/>
        </w:rPr>
        <w:t xml:space="preserve"> </w:t>
      </w:r>
      <w:r>
        <w:rPr>
          <w:rFonts w:ascii="Adobe Garamond Pro" w:hAnsi="Adobe Garamond Pro"/>
        </w:rPr>
        <w:t>(prepared from single stock solution of 0.130 M Ni</w:t>
      </w:r>
      <w:r w:rsidRPr="009366E3">
        <w:rPr>
          <w:rFonts w:ascii="Adobe Garamond Pro" w:hAnsi="Adobe Garamond Pro"/>
          <w:vertAlign w:val="superscript"/>
        </w:rPr>
        <w:t>2+</w:t>
      </w:r>
      <w:r>
        <w:rPr>
          <w:rFonts w:ascii="Adobe Garamond Pro" w:hAnsi="Adobe Garamond Pro"/>
        </w:rPr>
        <w:t>)</w:t>
      </w:r>
    </w:p>
    <w:p w:rsidR="009366E3" w:rsidRPr="009366E3" w:rsidRDefault="009366E3" w:rsidP="009366E3">
      <w:pPr>
        <w:pStyle w:val="ListParagraph"/>
        <w:numPr>
          <w:ilvl w:val="0"/>
          <w:numId w:val="2"/>
        </w:numPr>
        <w:ind w:left="36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 xml:space="preserve">columns h – </w:t>
      </w:r>
      <w:proofErr w:type="spellStart"/>
      <w:r>
        <w:rPr>
          <w:rFonts w:ascii="Adobe Garamond Pro" w:hAnsi="Adobe Garamond Pro"/>
        </w:rPr>
        <w:t>xr</w:t>
      </w:r>
      <w:proofErr w:type="spellEnd"/>
      <w:r>
        <w:rPr>
          <w:rFonts w:ascii="Adobe Garamond Pro" w:hAnsi="Adobe Garamond Pro"/>
        </w:rPr>
        <w:t>: absorbance at the stated wavelength</w:t>
      </w:r>
    </w:p>
    <w:p w:rsidR="009366E3" w:rsidRDefault="009366E3">
      <w:pPr>
        <w:rPr>
          <w:rFonts w:ascii="Adobe Garamond Pro" w:hAnsi="Adobe Garamond Pro"/>
        </w:rPr>
      </w:pPr>
    </w:p>
    <w:p w:rsidR="00E55FE1" w:rsidRDefault="00E55FE1">
      <w:pPr>
        <w:rPr>
          <w:rFonts w:ascii="Adobe Garamond Pro" w:hAnsi="Adobe Garamond Pro"/>
          <w:b/>
          <w:bCs/>
        </w:rPr>
      </w:pPr>
      <w:r w:rsidRPr="00DD7707">
        <w:rPr>
          <w:rFonts w:ascii="Adobe Garamond Pro" w:hAnsi="Adobe Garamond Pro"/>
          <w:b/>
          <w:bCs/>
        </w:rPr>
        <w:t>Suggested Uses</w:t>
      </w:r>
      <w:r w:rsidR="00DD7707">
        <w:rPr>
          <w:rFonts w:ascii="Adobe Garamond Pro" w:hAnsi="Adobe Garamond Pro"/>
          <w:b/>
          <w:bCs/>
        </w:rPr>
        <w:t>:</w:t>
      </w:r>
    </w:p>
    <w:p w:rsidR="00DD7707" w:rsidRPr="00DD7707" w:rsidRDefault="00DD7707">
      <w:pPr>
        <w:rPr>
          <w:rFonts w:ascii="Adobe Garamond Pro" w:hAnsi="Adobe Garamond Pro"/>
          <w:b/>
          <w:bCs/>
        </w:rPr>
      </w:pPr>
    </w:p>
    <w:p w:rsidR="00E55FE1" w:rsidRDefault="00E55FE1" w:rsidP="00E55FE1">
      <w:pPr>
        <w:pStyle w:val="ListParagraph"/>
        <w:numPr>
          <w:ilvl w:val="0"/>
          <w:numId w:val="3"/>
        </w:numPr>
        <w:ind w:left="54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analysis for single analyte using external standards calibration</w:t>
      </w:r>
    </w:p>
    <w:p w:rsidR="00E55FE1" w:rsidRDefault="00E55FE1" w:rsidP="00E55FE1">
      <w:pPr>
        <w:pStyle w:val="ListParagraph"/>
        <w:numPr>
          <w:ilvl w:val="0"/>
          <w:numId w:val="3"/>
        </w:numPr>
        <w:ind w:left="54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 xml:space="preserve">multicomponent </w:t>
      </w:r>
      <w:r w:rsidR="00DD7707">
        <w:rPr>
          <w:rFonts w:ascii="Adobe Garamond Pro" w:hAnsi="Adobe Garamond Pro"/>
        </w:rPr>
        <w:t xml:space="preserve">analysis </w:t>
      </w:r>
      <w:r>
        <w:rPr>
          <w:rFonts w:ascii="Adobe Garamond Pro" w:hAnsi="Adobe Garamond Pro"/>
        </w:rPr>
        <w:t xml:space="preserve">of binary, ternary, and quaternary mixtures </w:t>
      </w:r>
    </w:p>
    <w:p w:rsidR="00E55FE1" w:rsidRDefault="00E55FE1" w:rsidP="00E55FE1">
      <w:pPr>
        <w:pStyle w:val="ListParagraph"/>
        <w:numPr>
          <w:ilvl w:val="0"/>
          <w:numId w:val="3"/>
        </w:numPr>
        <w:ind w:left="54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choosing wavelengths for Beer’s law analysis</w:t>
      </w:r>
    </w:p>
    <w:p w:rsidR="00E55FE1" w:rsidRDefault="00E55FE1" w:rsidP="00E55FE1">
      <w:pPr>
        <w:pStyle w:val="ListParagraph"/>
        <w:numPr>
          <w:ilvl w:val="0"/>
          <w:numId w:val="3"/>
        </w:numPr>
        <w:ind w:left="54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principal component analysis</w:t>
      </w:r>
    </w:p>
    <w:p w:rsidR="00E55FE1" w:rsidRDefault="00E55FE1" w:rsidP="00E55FE1">
      <w:pPr>
        <w:pStyle w:val="ListParagraph"/>
        <w:numPr>
          <w:ilvl w:val="0"/>
          <w:numId w:val="3"/>
        </w:numPr>
        <w:ind w:left="54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cluster analysis</w:t>
      </w:r>
    </w:p>
    <w:p w:rsidR="00E55FE1" w:rsidRPr="00E55FE1" w:rsidRDefault="00E55FE1" w:rsidP="00E55FE1">
      <w:pPr>
        <w:pStyle w:val="ListParagraph"/>
        <w:numPr>
          <w:ilvl w:val="0"/>
          <w:numId w:val="3"/>
        </w:numPr>
        <w:ind w:left="540" w:hanging="180"/>
        <w:rPr>
          <w:rFonts w:ascii="Adobe Garamond Pro" w:hAnsi="Adobe Garamond Pro"/>
        </w:rPr>
      </w:pPr>
      <w:r>
        <w:rPr>
          <w:rFonts w:ascii="Adobe Garamond Pro" w:hAnsi="Adobe Garamond Pro"/>
        </w:rPr>
        <w:t>multiple linear regression</w:t>
      </w:r>
    </w:p>
    <w:sectPr w:rsidR="00E55FE1" w:rsidRPr="00E55FE1" w:rsidSect="005160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Garamond Pro">
    <w:altName w:val="Garamond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C79E7"/>
    <w:multiLevelType w:val="hybridMultilevel"/>
    <w:tmpl w:val="EFC60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E2E4C"/>
    <w:multiLevelType w:val="hybridMultilevel"/>
    <w:tmpl w:val="BC325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117AC"/>
    <w:multiLevelType w:val="hybridMultilevel"/>
    <w:tmpl w:val="89421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6E3"/>
    <w:rsid w:val="001611DC"/>
    <w:rsid w:val="00516088"/>
    <w:rsid w:val="00651DE8"/>
    <w:rsid w:val="009366E3"/>
    <w:rsid w:val="009B253C"/>
    <w:rsid w:val="00DD7707"/>
    <w:rsid w:val="00E5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635817-B276-F748-BCE0-0EB1E818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66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36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9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0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2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2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Harvey</dc:creator>
  <cp:keywords/>
  <dc:description/>
  <cp:lastModifiedBy>Thomas J. Wenzel</cp:lastModifiedBy>
  <cp:revision>2</cp:revision>
  <dcterms:created xsi:type="dcterms:W3CDTF">2020-07-24T21:36:00Z</dcterms:created>
  <dcterms:modified xsi:type="dcterms:W3CDTF">2020-07-24T21:36:00Z</dcterms:modified>
</cp:coreProperties>
</file>