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BC3" w:rsidRPr="001249BD" w:rsidRDefault="00A13BC3" w:rsidP="00A13BC3">
      <w:pPr>
        <w:jc w:val="center"/>
        <w:rPr>
          <w:rFonts w:ascii="Arial" w:eastAsia="Calibri" w:hAnsi="Arial" w:cs="Arial"/>
          <w:b/>
          <w:szCs w:val="22"/>
        </w:rPr>
      </w:pPr>
      <w:bookmarkStart w:id="0" w:name="_GoBack"/>
      <w:bookmarkEnd w:id="0"/>
      <w:r w:rsidRPr="001249BD">
        <w:rPr>
          <w:rFonts w:ascii="Arial" w:eastAsia="Calibri" w:hAnsi="Arial" w:cs="Arial"/>
          <w:b/>
          <w:szCs w:val="22"/>
        </w:rPr>
        <w:t>Chem 4090</w:t>
      </w:r>
      <w:r w:rsidR="00B02D46">
        <w:rPr>
          <w:rFonts w:ascii="Arial" w:eastAsia="Calibri" w:hAnsi="Arial" w:cs="Arial"/>
          <w:b/>
          <w:szCs w:val="22"/>
        </w:rPr>
        <w:t xml:space="preserve"> Case Study</w:t>
      </w:r>
    </w:p>
    <w:p w:rsidR="00A13BC3" w:rsidRDefault="00B02D46" w:rsidP="00A13BC3">
      <w:pPr>
        <w:jc w:val="center"/>
        <w:rPr>
          <w:rFonts w:ascii="Arial" w:eastAsia="Calibri" w:hAnsi="Arial" w:cs="Arial"/>
          <w:b/>
          <w:szCs w:val="22"/>
        </w:rPr>
      </w:pPr>
      <w:r>
        <w:rPr>
          <w:rFonts w:ascii="Arial" w:eastAsia="Calibri" w:hAnsi="Arial" w:cs="Arial"/>
          <w:b/>
          <w:szCs w:val="22"/>
        </w:rPr>
        <w:t>Multi-modal spectrophotometric analysis of</w:t>
      </w:r>
      <w:r w:rsidR="00A13BC3">
        <w:rPr>
          <w:rFonts w:ascii="Arial" w:eastAsia="Calibri" w:hAnsi="Arial" w:cs="Arial"/>
          <w:b/>
          <w:szCs w:val="22"/>
        </w:rPr>
        <w:t xml:space="preserve"> NAD and NADH </w:t>
      </w:r>
    </w:p>
    <w:p w:rsidR="00A13BC3" w:rsidRDefault="00A13BC3" w:rsidP="00A13BC3">
      <w:pPr>
        <w:rPr>
          <w:rFonts w:ascii="Arial" w:eastAsia="Calibri" w:hAnsi="Arial" w:cs="Arial"/>
          <w:b/>
          <w:szCs w:val="22"/>
        </w:rPr>
      </w:pPr>
    </w:p>
    <w:p w:rsidR="00A13BC3" w:rsidRPr="005707D2" w:rsidRDefault="00A13BC3" w:rsidP="00A13BC3">
      <w:pPr>
        <w:rPr>
          <w:rFonts w:ascii="Arial" w:eastAsia="Calibri" w:hAnsi="Arial" w:cs="Arial"/>
          <w:b/>
          <w:szCs w:val="22"/>
        </w:rPr>
      </w:pPr>
    </w:p>
    <w:p w:rsidR="000624FF" w:rsidRDefault="00A13BC3">
      <w:r>
        <w:t>Learning goals:</w:t>
      </w:r>
    </w:p>
    <w:p w:rsidR="00A13BC3" w:rsidRPr="00671CBB" w:rsidRDefault="00671CBB">
      <w:pPr>
        <w:rPr>
          <w:sz w:val="14"/>
        </w:rPr>
      </w:pPr>
      <w:r>
        <w:rPr>
          <w:noProof/>
        </w:rPr>
        <w:drawing>
          <wp:anchor distT="0" distB="0" distL="114300" distR="114300" simplePos="0" relativeHeight="251658240" behindDoc="0" locked="0" layoutInCell="1" allowOverlap="1" wp14:anchorId="6E1D008C" wp14:editId="69AAEE2C">
            <wp:simplePos x="0" y="0"/>
            <wp:positionH relativeFrom="column">
              <wp:posOffset>2673985</wp:posOffset>
            </wp:positionH>
            <wp:positionV relativeFrom="paragraph">
              <wp:posOffset>19050</wp:posOffset>
            </wp:positionV>
            <wp:extent cx="3440430" cy="2286000"/>
            <wp:effectExtent l="0" t="0" r="7620" b="0"/>
            <wp:wrapSquare wrapText="bothSides"/>
            <wp:docPr id="1" name="Picture 1" descr="Image result for NADH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NADH structur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44043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3BC3" w:rsidRDefault="00CB49CD" w:rsidP="00265087">
      <w:pPr>
        <w:pStyle w:val="ListParagraph"/>
        <w:numPr>
          <w:ilvl w:val="0"/>
          <w:numId w:val="6"/>
        </w:numPr>
      </w:pPr>
      <w:r>
        <w:t>Consider the effect of electronic structure on A</w:t>
      </w:r>
      <w:r w:rsidR="00A13BC3">
        <w:t xml:space="preserve">bs and Fluor </w:t>
      </w:r>
      <w:proofErr w:type="spellStart"/>
      <w:r w:rsidR="00A13BC3">
        <w:t>Em</w:t>
      </w:r>
      <w:proofErr w:type="spellEnd"/>
      <w:r w:rsidR="00A13BC3">
        <w:t>.</w:t>
      </w:r>
    </w:p>
    <w:p w:rsidR="00A13BC3" w:rsidRDefault="00181F29" w:rsidP="00265087">
      <w:pPr>
        <w:pStyle w:val="ListParagraph"/>
        <w:numPr>
          <w:ilvl w:val="0"/>
          <w:numId w:val="6"/>
        </w:numPr>
      </w:pPr>
      <w:r>
        <w:t xml:space="preserve">Design </w:t>
      </w:r>
      <w:r w:rsidR="00A13BC3">
        <w:t>experiment</w:t>
      </w:r>
      <w:r>
        <w:t>s</w:t>
      </w:r>
      <w:r w:rsidR="00A13BC3">
        <w:t xml:space="preserve"> using Abs and Fluorescence</w:t>
      </w:r>
    </w:p>
    <w:p w:rsidR="00A13BC3" w:rsidRDefault="003D56FD" w:rsidP="00265087">
      <w:pPr>
        <w:pStyle w:val="ListParagraph"/>
        <w:numPr>
          <w:ilvl w:val="0"/>
          <w:numId w:val="6"/>
        </w:numPr>
      </w:pPr>
      <w:r>
        <w:t xml:space="preserve">Compare </w:t>
      </w:r>
      <w:r w:rsidR="00A13BC3">
        <w:t xml:space="preserve">calibration curves </w:t>
      </w:r>
      <w:r w:rsidR="00E4539F">
        <w:t>using Abs and Fluorescence</w:t>
      </w:r>
    </w:p>
    <w:p w:rsidR="00A13BC3" w:rsidRDefault="00A13BC3"/>
    <w:p w:rsidR="00E21EC6" w:rsidRDefault="00E21EC6"/>
    <w:p w:rsidR="00E21EC6" w:rsidRDefault="00E21EC6"/>
    <w:p w:rsidR="00E21EC6" w:rsidRDefault="00E21EC6"/>
    <w:p w:rsidR="00E21EC6" w:rsidRPr="00E21EC6" w:rsidRDefault="00E21EC6" w:rsidP="00E21EC6">
      <w:pPr>
        <w:jc w:val="right"/>
        <w:rPr>
          <w:sz w:val="20"/>
        </w:rPr>
      </w:pPr>
      <w:r w:rsidRPr="00E21EC6">
        <w:rPr>
          <w:b/>
          <w:bCs/>
          <w:sz w:val="20"/>
        </w:rPr>
        <w:t xml:space="preserve">Figure 1. </w:t>
      </w:r>
      <w:r w:rsidR="00CD1AFD">
        <w:rPr>
          <w:bCs/>
          <w:sz w:val="20"/>
        </w:rPr>
        <w:t>Structures of NAD and</w:t>
      </w:r>
      <w:r w:rsidRPr="00E21EC6">
        <w:rPr>
          <w:bCs/>
          <w:sz w:val="20"/>
        </w:rPr>
        <w:t xml:space="preserve"> NADH.</w:t>
      </w:r>
    </w:p>
    <w:p w:rsidR="00B02D46" w:rsidRPr="00B02D46" w:rsidRDefault="00B02D46" w:rsidP="00B02D46">
      <w:pPr>
        <w:spacing w:before="100" w:beforeAutospacing="1" w:after="100" w:afterAutospacing="1"/>
        <w:outlineLvl w:val="2"/>
        <w:rPr>
          <w:b/>
          <w:bCs/>
          <w:sz w:val="27"/>
          <w:szCs w:val="27"/>
        </w:rPr>
      </w:pPr>
      <w:r w:rsidRPr="00B02D46">
        <w:rPr>
          <w:b/>
          <w:bCs/>
          <w:sz w:val="27"/>
          <w:szCs w:val="27"/>
        </w:rPr>
        <w:t>Do you know what your redox state is?</w:t>
      </w:r>
      <w:r w:rsidR="00671CBB" w:rsidRPr="00671CBB">
        <w:rPr>
          <w:rStyle w:val="FootnoteReference"/>
          <w:rFonts w:ascii="Arial" w:eastAsia="Calibri" w:hAnsi="Arial" w:cs="Arial"/>
          <w:b/>
          <w:szCs w:val="22"/>
        </w:rPr>
        <w:t xml:space="preserve"> </w:t>
      </w:r>
      <w:r w:rsidR="00671CBB">
        <w:rPr>
          <w:rStyle w:val="FootnoteReference"/>
          <w:rFonts w:ascii="Arial" w:eastAsia="Calibri" w:hAnsi="Arial" w:cs="Arial"/>
          <w:b/>
          <w:szCs w:val="22"/>
        </w:rPr>
        <w:footnoteReference w:id="1"/>
      </w:r>
    </w:p>
    <w:p w:rsidR="00B02D46" w:rsidRDefault="00B02D46" w:rsidP="00B02D46">
      <w:pPr>
        <w:spacing w:before="100" w:beforeAutospacing="1" w:after="100" w:afterAutospacing="1"/>
      </w:pPr>
      <w:r w:rsidRPr="00B02D46">
        <w:t>Because</w:t>
      </w:r>
      <w:r w:rsidR="00E87FFD">
        <w:t xml:space="preserve"> the</w:t>
      </w:r>
      <w:r w:rsidRPr="00B02D46">
        <w:t xml:space="preserve"> </w:t>
      </w:r>
      <w:r w:rsidR="00E87FFD">
        <w:t xml:space="preserve">enzyme cofactors </w:t>
      </w:r>
      <w:r>
        <w:t xml:space="preserve">NAD and NADH </w:t>
      </w:r>
      <w:r w:rsidRPr="00B02D46">
        <w:t xml:space="preserve">differ in their </w:t>
      </w:r>
      <w:r>
        <w:t>interaction with light</w:t>
      </w:r>
      <w:r w:rsidRPr="00B02D46">
        <w:t xml:space="preserve">, it is possible to quantitate </w:t>
      </w:r>
      <w:r>
        <w:t xml:space="preserve">enzymatic </w:t>
      </w:r>
      <w:r w:rsidRPr="00B02D46">
        <w:t>reactions based on light absorbance or by fluorescent emission</w:t>
      </w:r>
      <w:r>
        <w:t xml:space="preserve">. </w:t>
      </w:r>
      <w:r w:rsidR="0061552A">
        <w:t xml:space="preserve">In this activity, you will consider why this difference occurs, and how it is used to </w:t>
      </w:r>
      <w:r w:rsidR="00E87FFD">
        <w:t xml:space="preserve">our </w:t>
      </w:r>
      <w:r w:rsidR="0061552A">
        <w:t>advantage for analytical chemistry.</w:t>
      </w:r>
    </w:p>
    <w:p w:rsidR="0061552A" w:rsidRDefault="0061552A" w:rsidP="00B02D46">
      <w:pPr>
        <w:spacing w:before="100" w:beforeAutospacing="1" w:after="100" w:afterAutospacing="1"/>
        <w:rPr>
          <w:b/>
        </w:rPr>
      </w:pPr>
      <w:r w:rsidRPr="0061552A">
        <w:rPr>
          <w:b/>
        </w:rPr>
        <w:t>Part I. Why do NAD and NADH have such different spectra?</w:t>
      </w:r>
      <w:r w:rsidR="00CD1AFD">
        <w:rPr>
          <w:rStyle w:val="FootnoteReference"/>
          <w:b/>
        </w:rPr>
        <w:footnoteReference w:id="2"/>
      </w:r>
    </w:p>
    <w:p w:rsidR="00702277" w:rsidRDefault="00702277" w:rsidP="00702277">
      <w:pPr>
        <w:pStyle w:val="ListParagraph"/>
        <w:numPr>
          <w:ilvl w:val="0"/>
          <w:numId w:val="2"/>
        </w:numPr>
        <w:spacing w:before="100" w:beforeAutospacing="1" w:after="100" w:afterAutospacing="1"/>
      </w:pPr>
      <w:r>
        <w:t>To begin to answer this question, first identify the difference in structure between NAD and NADH. Circle the relevant area of the molecule in the figure above, and draw any relevant electrons.</w:t>
      </w:r>
    </w:p>
    <w:p w:rsidR="00702277" w:rsidRDefault="00702277" w:rsidP="00702277">
      <w:pPr>
        <w:pStyle w:val="ListParagraph"/>
        <w:spacing w:before="100" w:beforeAutospacing="1" w:after="100" w:afterAutospacing="1"/>
      </w:pPr>
    </w:p>
    <w:p w:rsidR="0061552A" w:rsidRDefault="0061552A" w:rsidP="00702277">
      <w:pPr>
        <w:pStyle w:val="ListParagraph"/>
        <w:numPr>
          <w:ilvl w:val="0"/>
          <w:numId w:val="2"/>
        </w:numPr>
        <w:spacing w:before="100" w:beforeAutospacing="1" w:after="100" w:afterAutospacing="1"/>
      </w:pPr>
      <w:r>
        <w:t>We learned previously that absorbance and emission arise from transitions between molecular orbitals.</w:t>
      </w:r>
      <w:r w:rsidR="00702277">
        <w:t xml:space="preserve"> Let’s briefly consider benzene and pyridine.</w:t>
      </w:r>
    </w:p>
    <w:p w:rsidR="00702277" w:rsidRDefault="004E24CB" w:rsidP="00702277">
      <w:pPr>
        <w:spacing w:before="100" w:beforeAutospacing="1" w:after="100" w:afterAutospacing="1"/>
        <w:ind w:left="2160" w:firstLine="720"/>
      </w:pPr>
      <w:r>
        <w:object w:dxaOrig="3631" w:dyaOrig="1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77pt" o:ole="">
            <v:imagedata r:id="rId10" o:title=""/>
          </v:shape>
          <o:OLEObject Type="Embed" ProgID="ChemDraw.Document.6.0" ShapeID="_x0000_i1025" DrawAspect="Content" ObjectID="_1655299600" r:id="rId11"/>
        </w:object>
      </w:r>
    </w:p>
    <w:p w:rsidR="00702277" w:rsidRPr="00B1067F" w:rsidRDefault="00702277" w:rsidP="00702277">
      <w:pPr>
        <w:pStyle w:val="ListParagraph"/>
        <w:numPr>
          <w:ilvl w:val="0"/>
          <w:numId w:val="3"/>
        </w:numPr>
      </w:pPr>
      <w:r w:rsidRPr="00B1067F">
        <w:lastRenderedPageBreak/>
        <w:t>What distinguishes pyridine from benzene?</w:t>
      </w:r>
      <w:r w:rsidR="00B1067F">
        <w:t xml:space="preserve">  Draw the relevant electrons into the picture.</w:t>
      </w:r>
    </w:p>
    <w:p w:rsidR="00702277" w:rsidRDefault="00702277" w:rsidP="00702277">
      <w:pPr>
        <w:spacing w:before="100" w:beforeAutospacing="1" w:after="100" w:afterAutospacing="1"/>
        <w:ind w:left="720"/>
      </w:pPr>
    </w:p>
    <w:p w:rsidR="00B1067F" w:rsidRDefault="00702277" w:rsidP="00702277">
      <w:pPr>
        <w:pStyle w:val="ListParagraph"/>
        <w:numPr>
          <w:ilvl w:val="0"/>
          <w:numId w:val="3"/>
        </w:numPr>
      </w:pPr>
      <w:r w:rsidRPr="003E39E8">
        <w:t>Benzene has a set of conjugated</w:t>
      </w:r>
      <w:r>
        <w:t xml:space="preserve"> </w:t>
      </w:r>
      <w:r w:rsidRPr="00702277">
        <w:rPr>
          <w:rFonts w:ascii="Symbol" w:hAnsi="Symbol"/>
          <w:sz w:val="22"/>
          <w:szCs w:val="22"/>
        </w:rPr>
        <w:t></w:t>
      </w:r>
      <w:r>
        <w:t>-</w:t>
      </w:r>
      <w:r w:rsidRPr="003E39E8">
        <w:t>bonds</w:t>
      </w:r>
      <w:r w:rsidR="00B1067F">
        <w:t>,</w:t>
      </w:r>
      <w:r w:rsidRPr="003E39E8">
        <w:t xml:space="preserve"> and </w:t>
      </w:r>
      <w:r w:rsidR="00B1067F">
        <w:t xml:space="preserve">the highest occupied molecular orbital (HOMO) is shown in the electronic diagram below.  What is the lowest energy transition? </w:t>
      </w:r>
    </w:p>
    <w:p w:rsidR="00B1067F" w:rsidRDefault="00B1067F" w:rsidP="00B1067F">
      <w:pPr>
        <w:pStyle w:val="ListParagraph"/>
      </w:pPr>
    </w:p>
    <w:p w:rsidR="00702277" w:rsidRDefault="00B1067F" w:rsidP="00B1067F">
      <w:pPr>
        <w:ind w:left="1080"/>
      </w:pPr>
      <w:r>
        <w:rPr>
          <w:noProof/>
        </w:rPr>
        <mc:AlternateContent>
          <mc:Choice Requires="wps">
            <w:drawing>
              <wp:anchor distT="0" distB="0" distL="114300" distR="114300" simplePos="0" relativeHeight="251659264" behindDoc="0" locked="0" layoutInCell="1" allowOverlap="1" wp14:anchorId="2884F942" wp14:editId="105B14FF">
                <wp:simplePos x="0" y="0"/>
                <wp:positionH relativeFrom="column">
                  <wp:posOffset>3324225</wp:posOffset>
                </wp:positionH>
                <wp:positionV relativeFrom="paragraph">
                  <wp:posOffset>97790</wp:posOffset>
                </wp:positionV>
                <wp:extent cx="2228850" cy="14001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228850" cy="1400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9D9B3" id="Rectangle 2" o:spid="_x0000_s1026" style="position:absolute;margin-left:261.75pt;margin-top:7.7pt;width:175.5pt;height:11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" filled="f" strokecolor="black [3213]" strokeweight="2pt"/>
            </w:pict>
          </mc:Fallback>
        </mc:AlternateContent>
      </w:r>
      <w:r w:rsidR="00702277">
        <w:rPr>
          <w:noProof/>
        </w:rPr>
        <w:drawing>
          <wp:inline distT="0" distB="0" distL="0" distR="0" wp14:anchorId="2E73B1E0" wp14:editId="277BA842">
            <wp:extent cx="1600200" cy="1543050"/>
            <wp:effectExtent l="0" t="0" r="0" b="0"/>
            <wp:docPr id="48" name="Picture 47" descr="pg3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4[1].TIF"/>
                    <pic:cNvPicPr/>
                  </pic:nvPicPr>
                  <pic:blipFill rotWithShape="1">
                    <a:blip r:embed="rId12" cstate="print"/>
                    <a:srcRect r="44721"/>
                    <a:stretch/>
                  </pic:blipFill>
                  <pic:spPr bwMode="auto">
                    <a:xfrm>
                      <a:off x="0" y="0"/>
                      <a:ext cx="1600477" cy="1543317"/>
                    </a:xfrm>
                    <a:prstGeom prst="rect">
                      <a:avLst/>
                    </a:prstGeom>
                    <a:ln>
                      <a:noFill/>
                    </a:ln>
                    <a:extLst>
                      <a:ext uri="{53640926-AAD7-44D8-BBD7-CCE9431645EC}">
                        <a14:shadowObscured xmlns:a14="http://schemas.microsoft.com/office/drawing/2010/main"/>
                      </a:ext>
                    </a:extLst>
                  </pic:spPr>
                </pic:pic>
              </a:graphicData>
            </a:graphic>
          </wp:inline>
        </w:drawing>
      </w:r>
    </w:p>
    <w:p w:rsidR="00702277" w:rsidRDefault="00702277" w:rsidP="00702277">
      <w:r w:rsidRPr="003E39E8">
        <w:t xml:space="preserve">  </w:t>
      </w:r>
    </w:p>
    <w:p w:rsidR="00265087" w:rsidRDefault="00265087" w:rsidP="00265087">
      <w:pPr>
        <w:pStyle w:val="ListParagraph"/>
        <w:numPr>
          <w:ilvl w:val="0"/>
          <w:numId w:val="3"/>
        </w:numPr>
      </w:pPr>
      <w:r>
        <w:t xml:space="preserve">Look up the UV-Vis spectrum of benzene in the NIST Webbook and sketch it in the box above.  Label the axes and identify the </w:t>
      </w:r>
      <w:proofErr w:type="spellStart"/>
      <w:r>
        <w:t>λ</w:t>
      </w:r>
      <w:r w:rsidRPr="00265087">
        <w:rPr>
          <w:vertAlign w:val="subscript"/>
        </w:rPr>
        <w:t>max</w:t>
      </w:r>
      <w:proofErr w:type="spellEnd"/>
      <w:r w:rsidRPr="00265087">
        <w:rPr>
          <w:vertAlign w:val="subscript"/>
        </w:rPr>
        <w:t>.</w:t>
      </w:r>
      <w:r>
        <w:t xml:space="preserve"> Is this transition detectable on a typical UV-Vis?</w:t>
      </w:r>
    </w:p>
    <w:p w:rsidR="004E24CB" w:rsidRDefault="004E24CB" w:rsidP="004E24CB">
      <w:pPr>
        <w:pStyle w:val="ListParagraph"/>
        <w:ind w:left="1080"/>
      </w:pPr>
    </w:p>
    <w:p w:rsidR="00265087" w:rsidRDefault="00265087" w:rsidP="00265087">
      <w:pPr>
        <w:pStyle w:val="ListParagraph"/>
        <w:spacing w:before="100" w:beforeAutospacing="1" w:after="100" w:afterAutospacing="1"/>
        <w:ind w:left="1080"/>
      </w:pPr>
    </w:p>
    <w:p w:rsidR="004B3195" w:rsidRDefault="00B1067F" w:rsidP="00265087">
      <w:pPr>
        <w:pStyle w:val="ListParagraph"/>
        <w:numPr>
          <w:ilvl w:val="0"/>
          <w:numId w:val="3"/>
        </w:numPr>
        <w:spacing w:before="100" w:beforeAutospacing="1" w:after="100" w:afterAutospacing="1"/>
      </w:pPr>
      <w:r>
        <w:t xml:space="preserve">Electrons in lone pairs are referred to as non-bonding electrons, and their energy is similar to what it would be in the atom alone.  </w:t>
      </w:r>
      <w:r w:rsidR="004B3195">
        <w:t>Below, add the non-bonding electrons (labelled “n”) to the energy diagram we had for benzene.  What is the lowest energy transition now?</w:t>
      </w:r>
      <w:r w:rsidR="00265087">
        <w:t xml:space="preserve">  Do you expect the corresponding absorption to have a longer or shorter wavelength?</w:t>
      </w:r>
    </w:p>
    <w:p w:rsidR="00265087" w:rsidRDefault="00265087" w:rsidP="00265087">
      <w:pPr>
        <w:pStyle w:val="ListParagraph"/>
      </w:pPr>
    </w:p>
    <w:p w:rsidR="00265087" w:rsidRDefault="00265087" w:rsidP="00265087">
      <w:pPr>
        <w:pStyle w:val="ListParagraph"/>
        <w:spacing w:before="100" w:beforeAutospacing="1" w:after="100" w:afterAutospacing="1"/>
        <w:ind w:left="1080"/>
      </w:pPr>
    </w:p>
    <w:p w:rsidR="00702277" w:rsidRDefault="00265087" w:rsidP="004B3195">
      <w:pPr>
        <w:pStyle w:val="ListParagraph"/>
        <w:spacing w:before="100" w:beforeAutospacing="1" w:after="100" w:afterAutospacing="1"/>
        <w:ind w:left="1080"/>
      </w:pPr>
      <w:r>
        <w:rPr>
          <w:noProof/>
        </w:rPr>
        <mc:AlternateContent>
          <mc:Choice Requires="wps">
            <w:drawing>
              <wp:anchor distT="0" distB="0" distL="114300" distR="114300" simplePos="0" relativeHeight="251661312" behindDoc="0" locked="0" layoutInCell="1" allowOverlap="1" wp14:anchorId="37360081" wp14:editId="2DBE318D">
                <wp:simplePos x="0" y="0"/>
                <wp:positionH relativeFrom="column">
                  <wp:posOffset>3133725</wp:posOffset>
                </wp:positionH>
                <wp:positionV relativeFrom="paragraph">
                  <wp:posOffset>635</wp:posOffset>
                </wp:positionV>
                <wp:extent cx="2228850" cy="14001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228850" cy="1400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09348" id="Rectangle 4" o:spid="_x0000_s1026" style="position:absolute;margin-left:246.75pt;margin-top:.05pt;width:175.5pt;height:1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" filled="f" strokecolor="black [3213]" strokeweight="2pt"/>
            </w:pict>
          </mc:Fallback>
        </mc:AlternateContent>
      </w:r>
      <w:r w:rsidR="004B3195">
        <w:rPr>
          <w:noProof/>
        </w:rPr>
        <w:drawing>
          <wp:inline distT="0" distB="0" distL="0" distR="0" wp14:anchorId="260FB93D" wp14:editId="44421BEC">
            <wp:extent cx="1600200" cy="1543050"/>
            <wp:effectExtent l="0" t="0" r="0" b="0"/>
            <wp:docPr id="3" name="Picture 47" descr="pg3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4[1].TIF"/>
                    <pic:cNvPicPr/>
                  </pic:nvPicPr>
                  <pic:blipFill rotWithShape="1">
                    <a:blip r:embed="rId12" cstate="print"/>
                    <a:srcRect r="44721"/>
                    <a:stretch/>
                  </pic:blipFill>
                  <pic:spPr bwMode="auto">
                    <a:xfrm>
                      <a:off x="0" y="0"/>
                      <a:ext cx="1600477" cy="1543317"/>
                    </a:xfrm>
                    <a:prstGeom prst="rect">
                      <a:avLst/>
                    </a:prstGeom>
                    <a:ln>
                      <a:noFill/>
                    </a:ln>
                    <a:extLst>
                      <a:ext uri="{53640926-AAD7-44D8-BBD7-CCE9431645EC}">
                        <a14:shadowObscured xmlns:a14="http://schemas.microsoft.com/office/drawing/2010/main"/>
                      </a:ext>
                    </a:extLst>
                  </pic:spPr>
                </pic:pic>
              </a:graphicData>
            </a:graphic>
          </wp:inline>
        </w:drawing>
      </w:r>
      <w:r w:rsidR="004B3195">
        <w:t xml:space="preserve"> </w:t>
      </w:r>
    </w:p>
    <w:p w:rsidR="00CD1AFD" w:rsidRDefault="00CD1AFD" w:rsidP="00CD1AFD">
      <w:pPr>
        <w:pStyle w:val="ListParagraph"/>
        <w:ind w:left="1080"/>
      </w:pPr>
    </w:p>
    <w:p w:rsidR="00265087" w:rsidRDefault="00265087" w:rsidP="00265087">
      <w:pPr>
        <w:pStyle w:val="ListParagraph"/>
        <w:numPr>
          <w:ilvl w:val="0"/>
          <w:numId w:val="3"/>
        </w:numPr>
      </w:pPr>
      <w:r>
        <w:t xml:space="preserve">Look up the UV-Vis spectrum of pyridine in the NIST Webbook and sketch it in the box above.  Label the axes and identify the </w:t>
      </w:r>
      <w:proofErr w:type="spellStart"/>
      <w:r>
        <w:t>λ</w:t>
      </w:r>
      <w:r w:rsidRPr="00265087">
        <w:rPr>
          <w:vertAlign w:val="subscript"/>
        </w:rPr>
        <w:t>max</w:t>
      </w:r>
      <w:proofErr w:type="spellEnd"/>
      <w:r w:rsidRPr="00265087">
        <w:rPr>
          <w:vertAlign w:val="subscript"/>
        </w:rPr>
        <w:t>.</w:t>
      </w:r>
      <w:r>
        <w:t xml:space="preserve"> Is this transition detectable on a typical UV-Vis?</w:t>
      </w:r>
    </w:p>
    <w:p w:rsidR="00702277" w:rsidRDefault="00702277" w:rsidP="00265087">
      <w:pPr>
        <w:pStyle w:val="ListParagraph"/>
        <w:spacing w:before="100" w:beforeAutospacing="1" w:after="100" w:afterAutospacing="1"/>
        <w:ind w:left="1080"/>
      </w:pPr>
    </w:p>
    <w:p w:rsidR="00265087" w:rsidRDefault="00265087" w:rsidP="00265087">
      <w:pPr>
        <w:pStyle w:val="ListParagraph"/>
        <w:spacing w:before="100" w:beforeAutospacing="1" w:after="100" w:afterAutospacing="1"/>
        <w:ind w:left="1080"/>
      </w:pPr>
    </w:p>
    <w:p w:rsidR="00265087" w:rsidRPr="0061552A" w:rsidRDefault="00265087" w:rsidP="00265087">
      <w:pPr>
        <w:pStyle w:val="ListParagraph"/>
        <w:spacing w:before="100" w:beforeAutospacing="1" w:after="100" w:afterAutospacing="1"/>
        <w:ind w:left="1080"/>
      </w:pPr>
    </w:p>
    <w:p w:rsidR="00B02D46" w:rsidRDefault="00265087" w:rsidP="004E24CB">
      <w:pPr>
        <w:pStyle w:val="ListParagraph"/>
        <w:numPr>
          <w:ilvl w:val="0"/>
          <w:numId w:val="2"/>
        </w:numPr>
        <w:spacing w:before="100" w:beforeAutospacing="1" w:after="100" w:afterAutospacing="1"/>
      </w:pPr>
      <w:r>
        <w:lastRenderedPageBreak/>
        <w:t xml:space="preserve">Returning to system at hand, </w:t>
      </w:r>
      <w:r w:rsidR="00432910">
        <w:t>briefly explain whether you expect</w:t>
      </w:r>
      <w:r>
        <w:t xml:space="preserve"> NADH</w:t>
      </w:r>
      <w:r w:rsidR="00432910">
        <w:t xml:space="preserve"> or NAD to be more likely to absorb in UV-Vis range</w:t>
      </w:r>
      <w:r w:rsidR="00237355">
        <w:t>, and why</w:t>
      </w:r>
      <w:r w:rsidR="00432910">
        <w:t xml:space="preserve">. </w:t>
      </w:r>
    </w:p>
    <w:p w:rsidR="00265087" w:rsidRDefault="00265087" w:rsidP="00265087">
      <w:pPr>
        <w:spacing w:before="100" w:beforeAutospacing="1" w:after="100" w:afterAutospacing="1"/>
      </w:pPr>
    </w:p>
    <w:p w:rsidR="00265087" w:rsidRDefault="00265087" w:rsidP="00265087">
      <w:pPr>
        <w:spacing w:before="100" w:beforeAutospacing="1" w:after="100" w:afterAutospacing="1"/>
      </w:pPr>
    </w:p>
    <w:p w:rsidR="006A27DD" w:rsidRDefault="006A27DD" w:rsidP="00265087">
      <w:pPr>
        <w:spacing w:before="100" w:beforeAutospacing="1" w:after="100" w:afterAutospacing="1"/>
      </w:pPr>
    </w:p>
    <w:p w:rsidR="00265087" w:rsidRDefault="00265087" w:rsidP="00265087">
      <w:pPr>
        <w:spacing w:before="100" w:beforeAutospacing="1" w:after="100" w:afterAutospacing="1"/>
      </w:pPr>
    </w:p>
    <w:p w:rsidR="00265087" w:rsidRPr="00265087" w:rsidRDefault="00265087" w:rsidP="00265087">
      <w:pPr>
        <w:spacing w:before="100" w:beforeAutospacing="1" w:after="100" w:afterAutospacing="1"/>
        <w:rPr>
          <w:b/>
        </w:rPr>
      </w:pPr>
      <w:r>
        <w:rPr>
          <w:b/>
        </w:rPr>
        <w:t xml:space="preserve">Part II.  </w:t>
      </w:r>
      <w:r w:rsidR="004E24CB">
        <w:rPr>
          <w:b/>
        </w:rPr>
        <w:t>Spectrometric assays and instrumentation</w:t>
      </w:r>
    </w:p>
    <w:p w:rsidR="00E21EC6" w:rsidRPr="00E21EC6" w:rsidRDefault="0020688F" w:rsidP="00E21EC6">
      <w:pPr>
        <w:jc w:val="right"/>
        <w:rPr>
          <w:sz w:val="20"/>
        </w:rPr>
      </w:pPr>
      <w:r>
        <w:rPr>
          <w:noProof/>
        </w:rPr>
        <w:drawing>
          <wp:inline distT="0" distB="0" distL="0" distR="0" wp14:anchorId="233ACB85" wp14:editId="219E61EB">
            <wp:extent cx="3085106" cy="143246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087114" cy="1433397"/>
                    </a:xfrm>
                    <a:prstGeom prst="rect">
                      <a:avLst/>
                    </a:prstGeom>
                  </pic:spPr>
                </pic:pic>
              </a:graphicData>
            </a:graphic>
          </wp:inline>
        </w:drawing>
      </w:r>
      <w:r w:rsidR="00E21EC6" w:rsidRPr="00E21EC6">
        <w:rPr>
          <w:b/>
          <w:bCs/>
          <w:sz w:val="20"/>
        </w:rPr>
        <w:t xml:space="preserve"> Figure </w:t>
      </w:r>
      <w:r w:rsidR="00E21EC6">
        <w:rPr>
          <w:b/>
          <w:bCs/>
          <w:sz w:val="20"/>
        </w:rPr>
        <w:t>2</w:t>
      </w:r>
      <w:r w:rsidR="00E21EC6" w:rsidRPr="00E21EC6">
        <w:rPr>
          <w:b/>
          <w:bCs/>
          <w:sz w:val="20"/>
        </w:rPr>
        <w:t xml:space="preserve">. </w:t>
      </w:r>
      <w:r w:rsidR="00E21EC6">
        <w:rPr>
          <w:bCs/>
          <w:sz w:val="20"/>
        </w:rPr>
        <w:t xml:space="preserve">Conversion </w:t>
      </w:r>
      <w:r w:rsidR="00E21EC6" w:rsidRPr="00E21EC6">
        <w:rPr>
          <w:bCs/>
          <w:sz w:val="20"/>
        </w:rPr>
        <w:t>of NAD</w:t>
      </w:r>
      <w:r w:rsidR="00E21EC6">
        <w:rPr>
          <w:bCs/>
          <w:sz w:val="20"/>
        </w:rPr>
        <w:t xml:space="preserve"> to</w:t>
      </w:r>
      <w:r w:rsidR="00E21EC6" w:rsidRPr="00E21EC6">
        <w:rPr>
          <w:bCs/>
          <w:sz w:val="20"/>
        </w:rPr>
        <w:t xml:space="preserve"> NADH.</w:t>
      </w:r>
    </w:p>
    <w:p w:rsidR="0020688F" w:rsidRDefault="004E24CB" w:rsidP="004E24CB">
      <w:pPr>
        <w:spacing w:before="100" w:beforeAutospacing="1" w:after="100" w:afterAutospacing="1"/>
      </w:pPr>
      <w:r>
        <w:t xml:space="preserve">NAD is a soluble dinucleotide that can be reversibly reduced by the addition of 2 hydrogen ions to form NADH.  </w:t>
      </w:r>
      <w:r w:rsidR="0020688F">
        <w:t>Because of their different optical properties, we can quantify reactions that convert one to the other.  A common example is the reaction of an enzyme called lactate dehydrogenase</w:t>
      </w:r>
      <w:r>
        <w:t xml:space="preserve"> (LDH)</w:t>
      </w:r>
      <w:r w:rsidR="0020688F">
        <w:t xml:space="preserve"> with NAD:</w:t>
      </w:r>
    </w:p>
    <w:p w:rsidR="0020688F" w:rsidRDefault="004E24CB" w:rsidP="004E24CB">
      <w:pPr>
        <w:ind w:left="720" w:firstLine="720"/>
      </w:pPr>
      <w:r>
        <w:object w:dxaOrig="5727" w:dyaOrig="825">
          <v:shape id="_x0000_i1026" type="#_x0000_t75" style="width:266.5pt;height:39pt" o:ole="">
            <v:imagedata r:id="rId14" o:title=""/>
          </v:shape>
          <o:OLEObject Type="Embed" ProgID="ChemDraw.Document.6.0" ShapeID="_x0000_i1026" DrawAspect="Content" ObjectID="_1655299601" r:id="rId15"/>
        </w:object>
      </w:r>
    </w:p>
    <w:p w:rsidR="00432910" w:rsidRDefault="00432910" w:rsidP="00432910"/>
    <w:p w:rsidR="00432910" w:rsidRDefault="004E24CB" w:rsidP="004E24CB">
      <w:pPr>
        <w:pStyle w:val="ListParagraph"/>
        <w:numPr>
          <w:ilvl w:val="0"/>
          <w:numId w:val="2"/>
        </w:numPr>
      </w:pPr>
      <w:r>
        <w:t>You want to design an assay to quantify the conversion of NAD to NADH after a 60-sec reaction with the enzyme LDH.  But, you don’t know the absorbance max of NADH, and cannot find it in the NIST webbook.  What could you do in the lab to solve this problem?</w:t>
      </w:r>
    </w:p>
    <w:p w:rsidR="004E24CB" w:rsidRDefault="004E24CB" w:rsidP="004E24CB"/>
    <w:p w:rsidR="004E24CB" w:rsidRDefault="004E24CB" w:rsidP="004E24CB"/>
    <w:p w:rsidR="004E24CB" w:rsidRDefault="004E24CB" w:rsidP="004E24CB"/>
    <w:p w:rsidR="004E24CB" w:rsidRDefault="004E24CB" w:rsidP="004E24CB">
      <w:pPr>
        <w:pStyle w:val="ListParagraph"/>
        <w:numPr>
          <w:ilvl w:val="0"/>
          <w:numId w:val="2"/>
        </w:numPr>
      </w:pPr>
      <w:r>
        <w:t>How should the instrument be configured to perform this experiment?  Sketch the basic instrumental setup.  What part</w:t>
      </w:r>
      <w:r w:rsidR="00237355">
        <w:t xml:space="preserve"> of the instrument</w:t>
      </w:r>
      <w:r>
        <w:t xml:space="preserve"> has to move to collect the data you need?</w:t>
      </w:r>
    </w:p>
    <w:p w:rsidR="004E24CB" w:rsidRDefault="004E24CB" w:rsidP="004E24CB"/>
    <w:p w:rsidR="00CD1AFD" w:rsidRDefault="00CD1AFD" w:rsidP="004E24CB"/>
    <w:p w:rsidR="00CD1AFD" w:rsidRDefault="00CD1AFD" w:rsidP="004E24CB"/>
    <w:p w:rsidR="00CD1AFD" w:rsidRDefault="00CD1AFD" w:rsidP="004E24CB"/>
    <w:p w:rsidR="00CD1AFD" w:rsidRDefault="00CD1AFD" w:rsidP="004E24CB"/>
    <w:p w:rsidR="00CD1AFD" w:rsidRDefault="00CD1AFD" w:rsidP="004E24CB"/>
    <w:p w:rsidR="00CD1AFD" w:rsidRDefault="00CD1AFD" w:rsidP="004E24CB"/>
    <w:p w:rsidR="004E24CB" w:rsidRDefault="004E24CB" w:rsidP="004E24CB"/>
    <w:p w:rsidR="004E24CB" w:rsidRDefault="004E24CB" w:rsidP="004E24CB"/>
    <w:p w:rsidR="004E24CB" w:rsidRDefault="004E24CB" w:rsidP="004E24CB">
      <w:pPr>
        <w:pStyle w:val="ListParagraph"/>
        <w:numPr>
          <w:ilvl w:val="0"/>
          <w:numId w:val="2"/>
        </w:numPr>
      </w:pPr>
      <w:r>
        <w:t>The absorbance spectrum for NAD and NADH is shown below.</w:t>
      </w:r>
      <w:r>
        <w:rPr>
          <w:vertAlign w:val="superscript"/>
        </w:rPr>
        <w:t>1</w:t>
      </w:r>
    </w:p>
    <w:p w:rsidR="004E24CB" w:rsidRDefault="004E24CB" w:rsidP="004E24CB">
      <w:pPr>
        <w:pStyle w:val="ListParagraph"/>
      </w:pPr>
    </w:p>
    <w:p w:rsidR="004E24CB" w:rsidRDefault="004E24CB" w:rsidP="004E24CB">
      <w:r>
        <w:rPr>
          <w:noProof/>
        </w:rPr>
        <w:drawing>
          <wp:inline distT="0" distB="0" distL="0" distR="0" wp14:anchorId="362BD33E" wp14:editId="4A53B901">
            <wp:extent cx="5943600" cy="35553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555365"/>
                    </a:xfrm>
                    <a:prstGeom prst="rect">
                      <a:avLst/>
                    </a:prstGeom>
                  </pic:spPr>
                </pic:pic>
              </a:graphicData>
            </a:graphic>
          </wp:inline>
        </w:drawing>
      </w:r>
    </w:p>
    <w:p w:rsidR="004E24CB" w:rsidRPr="00E21EC6" w:rsidRDefault="00181F29" w:rsidP="004E24CB">
      <w:pPr>
        <w:rPr>
          <w:rStyle w:val="Emphasis"/>
          <w:sz w:val="20"/>
        </w:rPr>
      </w:pPr>
      <w:r w:rsidRPr="00E21EC6">
        <w:rPr>
          <w:b/>
          <w:bCs/>
          <w:sz w:val="20"/>
        </w:rPr>
        <w:t xml:space="preserve">Figure 3. </w:t>
      </w:r>
      <w:r w:rsidR="004E24CB" w:rsidRPr="00E21EC6">
        <w:rPr>
          <w:b/>
          <w:bCs/>
          <w:sz w:val="20"/>
        </w:rPr>
        <w:t>Spectral Scans of NADH and NAD+ solutions.</w:t>
      </w:r>
      <w:r w:rsidR="004E24CB" w:rsidRPr="00E21EC6">
        <w:rPr>
          <w:sz w:val="20"/>
        </w:rPr>
        <w:t xml:space="preserve"> </w:t>
      </w:r>
      <w:r w:rsidR="004E24CB" w:rsidRPr="00E21EC6">
        <w:rPr>
          <w:rStyle w:val="Emphasis"/>
          <w:sz w:val="20"/>
        </w:rPr>
        <w:t xml:space="preserve">Aliquots (100 µl) of NADH </w:t>
      </w:r>
      <w:r w:rsidR="00E87FFD" w:rsidRPr="00E21EC6">
        <w:rPr>
          <w:rStyle w:val="Emphasis"/>
          <w:sz w:val="20"/>
        </w:rPr>
        <w:t>and NAD</w:t>
      </w:r>
      <w:r w:rsidR="004E24CB" w:rsidRPr="00E21EC6">
        <w:rPr>
          <w:rStyle w:val="Emphasis"/>
          <w:sz w:val="20"/>
        </w:rPr>
        <w:t xml:space="preserve"> solutions (1 mg/ml) were aliquoted into half area-UV transparent plates and a spectral scan from 200 nm to 600 nm in 1 nm increments performed.</w:t>
      </w:r>
    </w:p>
    <w:p w:rsidR="004E24CB" w:rsidRDefault="004E24CB" w:rsidP="004E24CB"/>
    <w:p w:rsidR="004E24CB" w:rsidRDefault="004E24CB" w:rsidP="004E24CB">
      <w:r>
        <w:tab/>
        <w:t>Label which curve is which on the graph, based on your considerations in part I.</w:t>
      </w:r>
    </w:p>
    <w:p w:rsidR="004E24CB" w:rsidRDefault="004E24CB" w:rsidP="004E24CB">
      <w:r>
        <w:tab/>
      </w:r>
    </w:p>
    <w:p w:rsidR="004E24CB" w:rsidRDefault="004E24CB" w:rsidP="004E24CB">
      <w:pPr>
        <w:ind w:left="720"/>
      </w:pPr>
      <w:r>
        <w:t xml:space="preserve">What wavelength would be most useful to detect, in order to monitor the conversion of </w:t>
      </w:r>
      <w:r w:rsidR="00E87FFD">
        <w:t>NAD to NADH by UV-Vis spectroscopy?</w:t>
      </w:r>
    </w:p>
    <w:p w:rsidR="004E24CB" w:rsidRDefault="004E24CB" w:rsidP="004E24CB">
      <w:pPr>
        <w:ind w:left="720"/>
      </w:pPr>
    </w:p>
    <w:p w:rsidR="00237355" w:rsidRDefault="00237355" w:rsidP="004E24CB">
      <w:pPr>
        <w:ind w:left="720"/>
      </w:pPr>
    </w:p>
    <w:p w:rsidR="00237355" w:rsidRDefault="00237355" w:rsidP="004E24CB">
      <w:pPr>
        <w:ind w:left="720"/>
      </w:pPr>
    </w:p>
    <w:p w:rsidR="004E24CB" w:rsidRDefault="004E24CB" w:rsidP="00E87FFD"/>
    <w:p w:rsidR="00E87FFD" w:rsidRDefault="00E87FFD" w:rsidP="00E87FFD">
      <w:pPr>
        <w:pStyle w:val="ListParagraph"/>
        <w:numPr>
          <w:ilvl w:val="0"/>
          <w:numId w:val="2"/>
        </w:numPr>
      </w:pPr>
      <w:r>
        <w:t xml:space="preserve">Remembering back to your homework, you know that in addition to absorbing, NADH also </w:t>
      </w:r>
      <w:r w:rsidR="00181F29">
        <w:t>fluoresces</w:t>
      </w:r>
      <w:r>
        <w:t xml:space="preserve"> (emission max </w:t>
      </w:r>
      <w:r w:rsidRPr="00E87FFD">
        <w:t>465 nm)</w:t>
      </w:r>
      <w:r>
        <w:t>. NAD does not fluorescence at this wavelength.</w:t>
      </w:r>
      <w:r w:rsidR="00E21EC6">
        <w:t xml:space="preserve">  How should the instrument be configured to measure fluorescence at this wavelength?  Be specific about wavelength selection.</w:t>
      </w:r>
    </w:p>
    <w:p w:rsidR="00E21EC6" w:rsidRDefault="00E21EC6" w:rsidP="00E21EC6"/>
    <w:p w:rsidR="00E21EC6" w:rsidRDefault="00E21EC6" w:rsidP="00E21EC6"/>
    <w:p w:rsidR="00E21EC6" w:rsidRDefault="00E21EC6" w:rsidP="00E21EC6"/>
    <w:p w:rsidR="00E21EC6" w:rsidRDefault="00E21EC6" w:rsidP="00E21EC6"/>
    <w:p w:rsidR="00E21EC6" w:rsidRDefault="00E21EC6" w:rsidP="00E21EC6"/>
    <w:p w:rsidR="00E21EC6" w:rsidRDefault="00E21EC6" w:rsidP="00E21EC6"/>
    <w:p w:rsidR="00E21EC6" w:rsidRDefault="00E21EC6" w:rsidP="00E21EC6"/>
    <w:p w:rsidR="00E21EC6" w:rsidRDefault="00E21EC6" w:rsidP="00E21EC6"/>
    <w:p w:rsidR="000D76FA" w:rsidRDefault="000D76FA" w:rsidP="00E21EC6">
      <w:pPr>
        <w:pStyle w:val="ListParagraph"/>
        <w:numPr>
          <w:ilvl w:val="0"/>
          <w:numId w:val="2"/>
        </w:numPr>
      </w:pPr>
      <w:r>
        <w:t xml:space="preserve">You prepare a set of standard solutions of NADH, ranging from </w:t>
      </w:r>
      <w:r w:rsidRPr="00E87FFD">
        <w:t>0 to 500 µg/ml</w:t>
      </w:r>
      <w:r>
        <w:t xml:space="preserve">, in a simple buffer called TE buffer.  </w:t>
      </w:r>
    </w:p>
    <w:p w:rsidR="00E87FFD" w:rsidRDefault="00181F29" w:rsidP="00E87FFD">
      <w:pPr>
        <w:pStyle w:val="ListParagraph"/>
        <w:numPr>
          <w:ilvl w:val="1"/>
          <w:numId w:val="2"/>
        </w:numPr>
      </w:pPr>
      <w:r>
        <w:t>Do you expect to obtain better sensitivity (lower LOD) by measuring absorbance or fluorescence?  Why?</w:t>
      </w:r>
    </w:p>
    <w:p w:rsidR="00181F29" w:rsidRDefault="00181F29" w:rsidP="00181F29"/>
    <w:p w:rsidR="00E21EC6" w:rsidRDefault="00E21EC6" w:rsidP="00181F29"/>
    <w:p w:rsidR="00E21EC6" w:rsidRDefault="00E21EC6" w:rsidP="00181F29"/>
    <w:p w:rsidR="00181F29" w:rsidRDefault="00181F29" w:rsidP="00181F29"/>
    <w:p w:rsidR="00181F29" w:rsidRDefault="00181F29" w:rsidP="00181F29"/>
    <w:p w:rsidR="00181F29" w:rsidRDefault="00181F29" w:rsidP="00181F29">
      <w:pPr>
        <w:pStyle w:val="ListParagraph"/>
        <w:numPr>
          <w:ilvl w:val="1"/>
          <w:numId w:val="2"/>
        </w:numPr>
      </w:pPr>
      <w:r>
        <w:t>Do you expect to obtain a higher upper limit of the linear range by measuring absorbance or fluorescence?  Why?</w:t>
      </w:r>
    </w:p>
    <w:p w:rsidR="00E21EC6" w:rsidRDefault="00E21EC6" w:rsidP="00E21EC6"/>
    <w:p w:rsidR="00E21EC6" w:rsidRDefault="00E21EC6" w:rsidP="00E21EC6"/>
    <w:p w:rsidR="00E21EC6" w:rsidRDefault="00E21EC6" w:rsidP="00E21EC6"/>
    <w:p w:rsidR="00E21EC6" w:rsidRDefault="00E21EC6" w:rsidP="00E21EC6"/>
    <w:p w:rsidR="00E21EC6" w:rsidRDefault="00E21EC6" w:rsidP="00E21EC6"/>
    <w:p w:rsidR="00E21EC6" w:rsidRDefault="00E21EC6" w:rsidP="00E21EC6">
      <w:pPr>
        <w:pStyle w:val="ListParagraph"/>
        <w:numPr>
          <w:ilvl w:val="0"/>
          <w:numId w:val="2"/>
        </w:numPr>
      </w:pPr>
      <w:r>
        <w:t xml:space="preserve">Look at </w:t>
      </w:r>
      <w:r w:rsidR="00CD1AFD">
        <w:t xml:space="preserve">the data in </w:t>
      </w:r>
      <w:r>
        <w:t xml:space="preserve">Figures 4 and 5.  Do they confirm your prediction from </w:t>
      </w:r>
      <w:r w:rsidR="00E4539F">
        <w:t>question 8</w:t>
      </w:r>
      <w:r w:rsidRPr="00E4539F">
        <w:rPr>
          <w:i/>
        </w:rPr>
        <w:t>b</w:t>
      </w:r>
      <w:r w:rsidR="00E4539F">
        <w:t>?</w:t>
      </w:r>
    </w:p>
    <w:p w:rsidR="00E21EC6" w:rsidRDefault="00E21EC6" w:rsidP="00E21EC6"/>
    <w:p w:rsidR="00E21EC6" w:rsidRDefault="00E21EC6" w:rsidP="00E21EC6"/>
    <w:p w:rsidR="00E21EC6" w:rsidRDefault="00E21EC6" w:rsidP="00E21EC6"/>
    <w:p w:rsidR="00E21EC6" w:rsidRDefault="00E21EC6" w:rsidP="00E21EC6"/>
    <w:p w:rsidR="00E21EC6" w:rsidRDefault="00E21EC6" w:rsidP="00E21EC6"/>
    <w:p w:rsidR="00E21EC6" w:rsidRDefault="00E21EC6" w:rsidP="00E21EC6">
      <w:pPr>
        <w:pStyle w:val="ListParagraph"/>
        <w:numPr>
          <w:ilvl w:val="0"/>
          <w:numId w:val="2"/>
        </w:numPr>
      </w:pPr>
      <w:r>
        <w:t xml:space="preserve">What could you do to get a linear standard curve for fluorescence of NADH?  </w:t>
      </w:r>
    </w:p>
    <w:p w:rsidR="00E21EC6" w:rsidRDefault="00E21EC6" w:rsidP="00E21EC6"/>
    <w:p w:rsidR="00E21EC6" w:rsidRDefault="00E21EC6" w:rsidP="00E21EC6"/>
    <w:p w:rsidR="00E21EC6" w:rsidRDefault="00E21EC6" w:rsidP="00E21EC6"/>
    <w:p w:rsidR="00E21EC6" w:rsidRDefault="00E21EC6" w:rsidP="00E21EC6"/>
    <w:p w:rsidR="00E21EC6" w:rsidRDefault="00E21EC6" w:rsidP="00E21EC6">
      <w:pPr>
        <w:pStyle w:val="ListParagraph"/>
        <w:numPr>
          <w:ilvl w:val="0"/>
          <w:numId w:val="2"/>
        </w:numPr>
      </w:pPr>
      <w:r>
        <w:t xml:space="preserve">Now compare Figures 4 and 6.  Do they confirm your prediction from </w:t>
      </w:r>
      <w:r w:rsidR="00E4539F">
        <w:t>question 8</w:t>
      </w:r>
      <w:r w:rsidRPr="00E4539F">
        <w:rPr>
          <w:i/>
        </w:rPr>
        <w:t>a</w:t>
      </w:r>
      <w:r>
        <w:t>?</w:t>
      </w:r>
      <w:r w:rsidR="00E4539F">
        <w:t xml:space="preserve">  How much better is one method than the other?</w:t>
      </w:r>
    </w:p>
    <w:p w:rsidR="00E21EC6" w:rsidRDefault="00E21EC6" w:rsidP="00E21EC6"/>
    <w:p w:rsidR="00E4539F" w:rsidRDefault="00E4539F" w:rsidP="00E21EC6"/>
    <w:p w:rsidR="00E4539F" w:rsidRDefault="00E4539F" w:rsidP="00E21EC6"/>
    <w:p w:rsidR="00E4539F" w:rsidRDefault="00E4539F" w:rsidP="00E21EC6"/>
    <w:p w:rsidR="00E4539F" w:rsidRDefault="00E4539F" w:rsidP="00E21EC6"/>
    <w:p w:rsidR="00E4539F" w:rsidRDefault="00E4539F" w:rsidP="00E4539F">
      <w:pPr>
        <w:pStyle w:val="ListParagraph"/>
        <w:numPr>
          <w:ilvl w:val="0"/>
          <w:numId w:val="2"/>
        </w:numPr>
      </w:pPr>
      <w:r>
        <w:t xml:space="preserve"> What type of fluorescence detector would be more useful for detection of very low concentrations of NADH, a photodiode or a PMT?  Why?  </w:t>
      </w:r>
    </w:p>
    <w:p w:rsidR="00E21EC6" w:rsidRDefault="00E21EC6">
      <w:pPr>
        <w:spacing w:after="200" w:line="276" w:lineRule="auto"/>
      </w:pPr>
      <w:r>
        <w:br w:type="page"/>
      </w:r>
    </w:p>
    <w:p w:rsidR="00181F29" w:rsidRDefault="00181F29" w:rsidP="00181F29">
      <w:r>
        <w:rPr>
          <w:noProof/>
        </w:rPr>
        <w:lastRenderedPageBreak/>
        <w:drawing>
          <wp:inline distT="0" distB="0" distL="0" distR="0" wp14:anchorId="3AD4047C" wp14:editId="319AA9DB">
            <wp:extent cx="5417389" cy="30872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17389" cy="3087217"/>
                    </a:xfrm>
                    <a:prstGeom prst="rect">
                      <a:avLst/>
                    </a:prstGeom>
                  </pic:spPr>
                </pic:pic>
              </a:graphicData>
            </a:graphic>
          </wp:inline>
        </w:drawing>
      </w:r>
    </w:p>
    <w:p w:rsidR="00181F29" w:rsidRPr="00181F29" w:rsidRDefault="00181F29" w:rsidP="00181F29">
      <w:pPr>
        <w:pStyle w:val="NormalWeb"/>
        <w:spacing w:before="0" w:beforeAutospacing="0"/>
        <w:rPr>
          <w:rStyle w:val="Emphasis"/>
          <w:sz w:val="20"/>
        </w:rPr>
      </w:pPr>
      <w:r w:rsidRPr="00181F29">
        <w:rPr>
          <w:b/>
          <w:bCs/>
          <w:sz w:val="20"/>
        </w:rPr>
        <w:t>Figure 4. NADH and NAD+ concentration curve measured using absorbance at 340 nm.</w:t>
      </w:r>
      <w:r w:rsidRPr="00181F29">
        <w:rPr>
          <w:sz w:val="20"/>
        </w:rPr>
        <w:t xml:space="preserve"> </w:t>
      </w:r>
      <w:r w:rsidRPr="00181F29">
        <w:rPr>
          <w:rStyle w:val="Emphasis"/>
          <w:sz w:val="20"/>
        </w:rPr>
        <w:t xml:space="preserve">Serial dilutions of NADH and NAD+ ranging from 0-500 µg/ml were made using TE pH 8.0 aqueous buffer as the diluent. The absorbance was determined using a </w:t>
      </w:r>
      <w:hyperlink r:id="rId18" w:history="1">
        <w:r w:rsidRPr="00181F29">
          <w:rPr>
            <w:rStyle w:val="Hyperlink"/>
            <w:i/>
            <w:iCs/>
            <w:sz w:val="20"/>
          </w:rPr>
          <w:t>Synergy™ 2 Multi-Detection Microplate Reader</w:t>
        </w:r>
      </w:hyperlink>
      <w:r w:rsidRPr="00181F29">
        <w:rPr>
          <w:rStyle w:val="Emphasis"/>
          <w:sz w:val="20"/>
        </w:rPr>
        <w:t xml:space="preserve"> in absorbance mode. </w:t>
      </w:r>
      <w:r w:rsidR="00E21EC6" w:rsidRPr="00E21EC6">
        <w:rPr>
          <w:rStyle w:val="Emphasis"/>
          <w:sz w:val="20"/>
        </w:rPr>
        <w:t>The average coefficient of variation (%CV) of the standards was 2%, with the greatest percent variation occurring in the lower NADH concentrations (data not shown). Under appropriate conditions, NADH concentrations as low as 975 ng/ml were found to be statistically different (p=0.003) from the TE buffer only (0 µg/ml) control.</w:t>
      </w:r>
    </w:p>
    <w:p w:rsidR="00181F29" w:rsidRDefault="00181F29" w:rsidP="00181F29">
      <w:pPr>
        <w:pStyle w:val="NormalWeb"/>
        <w:spacing w:after="0" w:afterAutospacing="0"/>
      </w:pPr>
      <w:r>
        <w:rPr>
          <w:noProof/>
        </w:rPr>
        <w:drawing>
          <wp:inline distT="0" distB="0" distL="0" distR="0" wp14:anchorId="0D310E23" wp14:editId="2DF815FB">
            <wp:extent cx="5486400" cy="320157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7272" cy="3202081"/>
                    </a:xfrm>
                    <a:prstGeom prst="rect">
                      <a:avLst/>
                    </a:prstGeom>
                  </pic:spPr>
                </pic:pic>
              </a:graphicData>
            </a:graphic>
          </wp:inline>
        </w:drawing>
      </w:r>
    </w:p>
    <w:p w:rsidR="00181F29" w:rsidRDefault="00181F29" w:rsidP="00181F29">
      <w:pPr>
        <w:pStyle w:val="NormalWeb"/>
        <w:spacing w:before="0" w:beforeAutospacing="0"/>
        <w:rPr>
          <w:rStyle w:val="Emphasis"/>
          <w:sz w:val="20"/>
        </w:rPr>
      </w:pPr>
      <w:r w:rsidRPr="00181F29">
        <w:rPr>
          <w:b/>
          <w:bCs/>
          <w:sz w:val="20"/>
        </w:rPr>
        <w:t>Figure 5. NADH concentration curve measured using fluorescence.</w:t>
      </w:r>
      <w:r w:rsidRPr="00181F29">
        <w:rPr>
          <w:sz w:val="20"/>
        </w:rPr>
        <w:t xml:space="preserve"> </w:t>
      </w:r>
      <w:r w:rsidRPr="00181F29">
        <w:rPr>
          <w:rStyle w:val="Emphasis"/>
          <w:sz w:val="20"/>
        </w:rPr>
        <w:t xml:space="preserve">Serial dilutions of NADH and NAD+ ranging from 0-500 µg/ml were made using TE pH 8.0 aqueous buffer as the diluent. The fluorescence was determined using a </w:t>
      </w:r>
      <w:hyperlink r:id="rId20" w:history="1">
        <w:r w:rsidRPr="00181F29">
          <w:rPr>
            <w:rStyle w:val="Hyperlink"/>
            <w:i/>
            <w:iCs/>
            <w:sz w:val="20"/>
          </w:rPr>
          <w:t>Synergy™ 2</w:t>
        </w:r>
      </w:hyperlink>
      <w:r w:rsidRPr="00181F29">
        <w:rPr>
          <w:rStyle w:val="Emphasis"/>
          <w:sz w:val="20"/>
        </w:rPr>
        <w:t xml:space="preserve">. </w:t>
      </w:r>
    </w:p>
    <w:p w:rsidR="00E21EC6" w:rsidRDefault="00E21EC6" w:rsidP="00181F29">
      <w:pPr>
        <w:pStyle w:val="NormalWeb"/>
        <w:spacing w:before="0" w:beforeAutospacing="0"/>
        <w:rPr>
          <w:rStyle w:val="Emphasis"/>
          <w:sz w:val="20"/>
        </w:rPr>
      </w:pPr>
    </w:p>
    <w:p w:rsidR="00E21EC6" w:rsidRPr="00181F29" w:rsidRDefault="00E21EC6" w:rsidP="00181F29">
      <w:pPr>
        <w:pStyle w:val="NormalWeb"/>
        <w:spacing w:before="0" w:beforeAutospacing="0"/>
        <w:rPr>
          <w:sz w:val="20"/>
        </w:rPr>
      </w:pPr>
      <w:r>
        <w:rPr>
          <w:noProof/>
        </w:rPr>
        <w:lastRenderedPageBreak/>
        <w:drawing>
          <wp:inline distT="0" distB="0" distL="0" distR="0" wp14:anchorId="7FB87FDC" wp14:editId="04522A50">
            <wp:extent cx="5943600" cy="40887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Lst>
                    </a:blip>
                    <a:stretch>
                      <a:fillRect/>
                    </a:stretch>
                  </pic:blipFill>
                  <pic:spPr>
                    <a:xfrm>
                      <a:off x="0" y="0"/>
                      <a:ext cx="5943600" cy="4088765"/>
                    </a:xfrm>
                    <a:prstGeom prst="rect">
                      <a:avLst/>
                    </a:prstGeom>
                  </pic:spPr>
                </pic:pic>
              </a:graphicData>
            </a:graphic>
          </wp:inline>
        </w:drawing>
      </w:r>
    </w:p>
    <w:p w:rsidR="00E21EC6" w:rsidRPr="00E21EC6" w:rsidRDefault="00E21EC6" w:rsidP="00E21EC6">
      <w:pPr>
        <w:pStyle w:val="NormalWeb"/>
        <w:rPr>
          <w:sz w:val="20"/>
        </w:rPr>
      </w:pPr>
      <w:r w:rsidRPr="00E21EC6">
        <w:rPr>
          <w:b/>
          <w:bCs/>
          <w:sz w:val="20"/>
        </w:rPr>
        <w:t>Figure 6. Linearity of low NADH concentrations.</w:t>
      </w:r>
      <w:r w:rsidRPr="00E21EC6">
        <w:rPr>
          <w:sz w:val="20"/>
        </w:rPr>
        <w:t xml:space="preserve"> </w:t>
      </w:r>
      <w:r w:rsidRPr="00E21EC6">
        <w:rPr>
          <w:rStyle w:val="Emphasis"/>
          <w:sz w:val="20"/>
        </w:rPr>
        <w:t>Dilutions of NADH ranging from 0-12.5 µg/ml were made and their fluorescence determined. Under appropriate sensitivity settings, NADH concentrations as low as 37 ng/ml were found to be statistically different (p=0.003) from the TE only (0 mg/ml) control. Taking into consideration the sample volume in a well, this detection limit represents the determination of as little as 1.03 x10-11 moles of NADH.</w:t>
      </w:r>
    </w:p>
    <w:p w:rsidR="00181F29" w:rsidRDefault="00181F29" w:rsidP="00181F29"/>
    <w:sectPr w:rsidR="00181F29">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2D3A" w:rsidRDefault="00732D3A" w:rsidP="00A13BC3">
      <w:r>
        <w:separator/>
      </w:r>
    </w:p>
  </w:endnote>
  <w:endnote w:type="continuationSeparator" w:id="0">
    <w:p w:rsidR="00732D3A" w:rsidRDefault="00732D3A" w:rsidP="00A13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439791"/>
      <w:docPartObj>
        <w:docPartGallery w:val="Page Numbers (Bottom of Page)"/>
        <w:docPartUnique/>
      </w:docPartObj>
    </w:sdtPr>
    <w:sdtEndPr>
      <w:rPr>
        <w:noProof/>
      </w:rPr>
    </w:sdtEndPr>
    <w:sdtContent>
      <w:p w:rsidR="000D76FA" w:rsidRDefault="000D76FA">
        <w:pPr>
          <w:pStyle w:val="Footer"/>
          <w:jc w:val="right"/>
        </w:pPr>
        <w:r>
          <w:fldChar w:fldCharType="begin"/>
        </w:r>
        <w:r>
          <w:instrText xml:space="preserve"> PAGE   \* MERGEFORMAT </w:instrText>
        </w:r>
        <w:r>
          <w:fldChar w:fldCharType="separate"/>
        </w:r>
        <w:r w:rsidR="006A27DD">
          <w:rPr>
            <w:noProof/>
          </w:rPr>
          <w:t>7</w:t>
        </w:r>
        <w:r>
          <w:rPr>
            <w:noProof/>
          </w:rPr>
          <w:fldChar w:fldCharType="end"/>
        </w:r>
      </w:p>
    </w:sdtContent>
  </w:sdt>
  <w:p w:rsidR="000D76FA" w:rsidRDefault="000D7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2D3A" w:rsidRDefault="00732D3A" w:rsidP="00A13BC3">
      <w:r>
        <w:separator/>
      </w:r>
    </w:p>
  </w:footnote>
  <w:footnote w:type="continuationSeparator" w:id="0">
    <w:p w:rsidR="00732D3A" w:rsidRDefault="00732D3A" w:rsidP="00A13BC3">
      <w:r>
        <w:continuationSeparator/>
      </w:r>
    </w:p>
  </w:footnote>
  <w:footnote w:id="1">
    <w:p w:rsidR="00671CBB" w:rsidRPr="00237355" w:rsidRDefault="00671CBB" w:rsidP="00671CBB">
      <w:pPr>
        <w:rPr>
          <w:sz w:val="22"/>
        </w:rPr>
      </w:pPr>
      <w:r w:rsidRPr="00237355">
        <w:rPr>
          <w:rStyle w:val="FootnoteReference"/>
          <w:sz w:val="22"/>
        </w:rPr>
        <w:footnoteRef/>
      </w:r>
      <w:r w:rsidRPr="00237355">
        <w:rPr>
          <w:sz w:val="22"/>
        </w:rPr>
        <w:t xml:space="preserve"> Adapted from:  Paul Held, “Determination of NADH Concentrations with the Synergy™ 2 Multi-Detection Microplate Reader using Fluorescence or Absorbance,” </w:t>
      </w:r>
      <w:proofErr w:type="spellStart"/>
      <w:r w:rsidRPr="00237355">
        <w:rPr>
          <w:sz w:val="22"/>
        </w:rPr>
        <w:t>BioTek</w:t>
      </w:r>
      <w:proofErr w:type="spellEnd"/>
      <w:r w:rsidRPr="00237355">
        <w:rPr>
          <w:sz w:val="22"/>
        </w:rPr>
        <w:t xml:space="preserve"> Application Note, 2006.  Accessed Sept. 14, 2018. </w:t>
      </w:r>
      <w:hyperlink r:id="rId1" w:history="1">
        <w:r w:rsidRPr="00237355">
          <w:rPr>
            <w:rStyle w:val="Hyperlink"/>
            <w:sz w:val="22"/>
          </w:rPr>
          <w:t>https://www.biotek.com/resources/application-notes/determining-nadh-concentrations-with-synergy-2-multi-mode-microplate-reader-using-fluorescence-or-absorbance/</w:t>
        </w:r>
      </w:hyperlink>
      <w:r w:rsidRPr="00237355">
        <w:rPr>
          <w:sz w:val="22"/>
        </w:rPr>
        <w:t xml:space="preserve"> </w:t>
      </w:r>
    </w:p>
    <w:p w:rsidR="00671CBB" w:rsidRDefault="00671CBB" w:rsidP="00671CBB">
      <w:pPr>
        <w:pStyle w:val="FootnoteText"/>
      </w:pPr>
    </w:p>
  </w:footnote>
  <w:footnote w:id="2">
    <w:p w:rsidR="00CD1AFD" w:rsidRDefault="00CD1AFD">
      <w:pPr>
        <w:pStyle w:val="FootnoteText"/>
      </w:pPr>
      <w:r>
        <w:rPr>
          <w:rStyle w:val="FootnoteReference"/>
        </w:rPr>
        <w:footnoteRef/>
      </w:r>
      <w:r>
        <w:t xml:space="preserve"> Adapted from: Tom Wenzel, ASDL Spectroscopy Unit, Bates College.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C411A"/>
    <w:multiLevelType w:val="hybridMultilevel"/>
    <w:tmpl w:val="82DA530C"/>
    <w:lvl w:ilvl="0" w:tplc="3E4080C8">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9656502"/>
    <w:multiLevelType w:val="hybridMultilevel"/>
    <w:tmpl w:val="F26016F4"/>
    <w:lvl w:ilvl="0" w:tplc="3E4080C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5C1A73"/>
    <w:multiLevelType w:val="hybridMultilevel"/>
    <w:tmpl w:val="5BFE9D12"/>
    <w:lvl w:ilvl="0" w:tplc="0409000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01925A5"/>
    <w:multiLevelType w:val="hybridMultilevel"/>
    <w:tmpl w:val="F26016F4"/>
    <w:lvl w:ilvl="0" w:tplc="3E4080C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AF0FD0"/>
    <w:multiLevelType w:val="hybridMultilevel"/>
    <w:tmpl w:val="BE7882F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F967293"/>
    <w:multiLevelType w:val="hybridMultilevel"/>
    <w:tmpl w:val="BF8007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C3"/>
    <w:rsid w:val="00006512"/>
    <w:rsid w:val="000624FF"/>
    <w:rsid w:val="000D76FA"/>
    <w:rsid w:val="000F40D8"/>
    <w:rsid w:val="00181F29"/>
    <w:rsid w:val="0020688F"/>
    <w:rsid w:val="00237355"/>
    <w:rsid w:val="00265087"/>
    <w:rsid w:val="003D56FD"/>
    <w:rsid w:val="00432910"/>
    <w:rsid w:val="004B3195"/>
    <w:rsid w:val="004E24CB"/>
    <w:rsid w:val="0061552A"/>
    <w:rsid w:val="00671CBB"/>
    <w:rsid w:val="006A27DD"/>
    <w:rsid w:val="00702277"/>
    <w:rsid w:val="00732D3A"/>
    <w:rsid w:val="007D7B45"/>
    <w:rsid w:val="00825734"/>
    <w:rsid w:val="008A4E4C"/>
    <w:rsid w:val="00932784"/>
    <w:rsid w:val="00A13BC3"/>
    <w:rsid w:val="00B02D46"/>
    <w:rsid w:val="00B1067F"/>
    <w:rsid w:val="00C16EA2"/>
    <w:rsid w:val="00CB49CD"/>
    <w:rsid w:val="00CD1AFD"/>
    <w:rsid w:val="00E1673B"/>
    <w:rsid w:val="00E21EC6"/>
    <w:rsid w:val="00E4539F"/>
    <w:rsid w:val="00E87E34"/>
    <w:rsid w:val="00E8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E47439-4B8B-42B8-BA22-E1D3DAE8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3BC3"/>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B02D4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F40D8"/>
    <w:rPr>
      <w:rFonts w:ascii="Arial" w:hAnsi="Arial"/>
      <w:b/>
      <w:bCs/>
      <w:sz w:val="20"/>
      <w:szCs w:val="18"/>
    </w:rPr>
  </w:style>
  <w:style w:type="paragraph" w:styleId="ListParagraph">
    <w:name w:val="List Paragraph"/>
    <w:basedOn w:val="Normal"/>
    <w:uiPriority w:val="34"/>
    <w:qFormat/>
    <w:rsid w:val="00A13BC3"/>
    <w:pPr>
      <w:ind w:left="720"/>
      <w:contextualSpacing/>
    </w:pPr>
  </w:style>
  <w:style w:type="paragraph" w:styleId="Header">
    <w:name w:val="header"/>
    <w:basedOn w:val="Normal"/>
    <w:link w:val="HeaderChar"/>
    <w:uiPriority w:val="99"/>
    <w:unhideWhenUsed/>
    <w:rsid w:val="00A13BC3"/>
    <w:pPr>
      <w:tabs>
        <w:tab w:val="center" w:pos="4680"/>
        <w:tab w:val="right" w:pos="9360"/>
      </w:tabs>
    </w:pPr>
  </w:style>
  <w:style w:type="character" w:customStyle="1" w:styleId="HeaderChar">
    <w:name w:val="Header Char"/>
    <w:basedOn w:val="DefaultParagraphFont"/>
    <w:link w:val="Header"/>
    <w:uiPriority w:val="99"/>
    <w:rsid w:val="00A13BC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3BC3"/>
    <w:pPr>
      <w:tabs>
        <w:tab w:val="center" w:pos="4680"/>
        <w:tab w:val="right" w:pos="9360"/>
      </w:tabs>
    </w:pPr>
  </w:style>
  <w:style w:type="character" w:customStyle="1" w:styleId="FooterChar">
    <w:name w:val="Footer Char"/>
    <w:basedOn w:val="DefaultParagraphFont"/>
    <w:link w:val="Footer"/>
    <w:uiPriority w:val="99"/>
    <w:rsid w:val="00A13BC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13BC3"/>
    <w:rPr>
      <w:color w:val="0000FF" w:themeColor="hyperlink"/>
      <w:u w:val="single"/>
    </w:rPr>
  </w:style>
  <w:style w:type="character" w:customStyle="1" w:styleId="Heading3Char">
    <w:name w:val="Heading 3 Char"/>
    <w:basedOn w:val="DefaultParagraphFont"/>
    <w:link w:val="Heading3"/>
    <w:uiPriority w:val="9"/>
    <w:rsid w:val="00B02D46"/>
    <w:rPr>
      <w:rFonts w:ascii="Times New Roman" w:eastAsia="Times New Roman" w:hAnsi="Times New Roman" w:cs="Times New Roman"/>
      <w:b/>
      <w:bCs/>
      <w:sz w:val="27"/>
      <w:szCs w:val="27"/>
    </w:rPr>
  </w:style>
  <w:style w:type="paragraph" w:styleId="NormalWeb">
    <w:name w:val="Normal (Web)"/>
    <w:basedOn w:val="Normal"/>
    <w:uiPriority w:val="99"/>
    <w:unhideWhenUsed/>
    <w:rsid w:val="00B02D46"/>
    <w:pPr>
      <w:spacing w:before="100" w:beforeAutospacing="1" w:after="100" w:afterAutospacing="1"/>
    </w:pPr>
  </w:style>
  <w:style w:type="paragraph" w:styleId="BalloonText">
    <w:name w:val="Balloon Text"/>
    <w:basedOn w:val="Normal"/>
    <w:link w:val="BalloonTextChar"/>
    <w:uiPriority w:val="99"/>
    <w:semiHidden/>
    <w:unhideWhenUsed/>
    <w:rsid w:val="00702277"/>
    <w:rPr>
      <w:rFonts w:ascii="Tahoma" w:hAnsi="Tahoma" w:cs="Tahoma"/>
      <w:sz w:val="16"/>
      <w:szCs w:val="16"/>
    </w:rPr>
  </w:style>
  <w:style w:type="character" w:customStyle="1" w:styleId="BalloonTextChar">
    <w:name w:val="Balloon Text Char"/>
    <w:basedOn w:val="DefaultParagraphFont"/>
    <w:link w:val="BalloonText"/>
    <w:uiPriority w:val="99"/>
    <w:semiHidden/>
    <w:rsid w:val="00702277"/>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B1067F"/>
    <w:rPr>
      <w:sz w:val="20"/>
      <w:szCs w:val="20"/>
    </w:rPr>
  </w:style>
  <w:style w:type="character" w:customStyle="1" w:styleId="FootnoteTextChar">
    <w:name w:val="Footnote Text Char"/>
    <w:basedOn w:val="DefaultParagraphFont"/>
    <w:link w:val="FootnoteText"/>
    <w:uiPriority w:val="99"/>
    <w:semiHidden/>
    <w:rsid w:val="00B1067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1067F"/>
    <w:rPr>
      <w:vertAlign w:val="superscript"/>
    </w:rPr>
  </w:style>
  <w:style w:type="character" w:styleId="Emphasis">
    <w:name w:val="Emphasis"/>
    <w:basedOn w:val="DefaultParagraphFont"/>
    <w:uiPriority w:val="20"/>
    <w:qFormat/>
    <w:rsid w:val="004E24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40636">
      <w:bodyDiv w:val="1"/>
      <w:marLeft w:val="0"/>
      <w:marRight w:val="0"/>
      <w:marTop w:val="0"/>
      <w:marBottom w:val="0"/>
      <w:divBdr>
        <w:top w:val="none" w:sz="0" w:space="0" w:color="auto"/>
        <w:left w:val="none" w:sz="0" w:space="0" w:color="auto"/>
        <w:bottom w:val="none" w:sz="0" w:space="0" w:color="auto"/>
        <w:right w:val="none" w:sz="0" w:space="0" w:color="auto"/>
      </w:divBdr>
      <w:divsChild>
        <w:div w:id="532572992">
          <w:marLeft w:val="0"/>
          <w:marRight w:val="0"/>
          <w:marTop w:val="0"/>
          <w:marBottom w:val="0"/>
          <w:divBdr>
            <w:top w:val="none" w:sz="0" w:space="0" w:color="auto"/>
            <w:left w:val="none" w:sz="0" w:space="0" w:color="auto"/>
            <w:bottom w:val="none" w:sz="0" w:space="0" w:color="auto"/>
            <w:right w:val="none" w:sz="0" w:space="0" w:color="auto"/>
          </w:divBdr>
        </w:div>
        <w:div w:id="687296098">
          <w:marLeft w:val="0"/>
          <w:marRight w:val="0"/>
          <w:marTop w:val="0"/>
          <w:marBottom w:val="0"/>
          <w:divBdr>
            <w:top w:val="none" w:sz="0" w:space="0" w:color="auto"/>
            <w:left w:val="none" w:sz="0" w:space="0" w:color="auto"/>
            <w:bottom w:val="none" w:sz="0" w:space="0" w:color="auto"/>
            <w:right w:val="none" w:sz="0" w:space="0" w:color="auto"/>
          </w:divBdr>
        </w:div>
        <w:div w:id="307445772">
          <w:marLeft w:val="0"/>
          <w:marRight w:val="0"/>
          <w:marTop w:val="0"/>
          <w:marBottom w:val="0"/>
          <w:divBdr>
            <w:top w:val="none" w:sz="0" w:space="0" w:color="auto"/>
            <w:left w:val="none" w:sz="0" w:space="0" w:color="auto"/>
            <w:bottom w:val="none" w:sz="0" w:space="0" w:color="auto"/>
            <w:right w:val="none" w:sz="0" w:space="0" w:color="auto"/>
          </w:divBdr>
        </w:div>
        <w:div w:id="829179175">
          <w:marLeft w:val="0"/>
          <w:marRight w:val="0"/>
          <w:marTop w:val="0"/>
          <w:marBottom w:val="0"/>
          <w:divBdr>
            <w:top w:val="none" w:sz="0" w:space="0" w:color="auto"/>
            <w:left w:val="none" w:sz="0" w:space="0" w:color="auto"/>
            <w:bottom w:val="none" w:sz="0" w:space="0" w:color="auto"/>
            <w:right w:val="none" w:sz="0" w:space="0" w:color="auto"/>
          </w:divBdr>
        </w:div>
        <w:div w:id="198393301">
          <w:marLeft w:val="0"/>
          <w:marRight w:val="0"/>
          <w:marTop w:val="0"/>
          <w:marBottom w:val="0"/>
          <w:divBdr>
            <w:top w:val="none" w:sz="0" w:space="0" w:color="auto"/>
            <w:left w:val="none" w:sz="0" w:space="0" w:color="auto"/>
            <w:bottom w:val="none" w:sz="0" w:space="0" w:color="auto"/>
            <w:right w:val="none" w:sz="0" w:space="0" w:color="auto"/>
          </w:divBdr>
        </w:div>
        <w:div w:id="792016869">
          <w:marLeft w:val="0"/>
          <w:marRight w:val="0"/>
          <w:marTop w:val="0"/>
          <w:marBottom w:val="0"/>
          <w:divBdr>
            <w:top w:val="none" w:sz="0" w:space="0" w:color="auto"/>
            <w:left w:val="none" w:sz="0" w:space="0" w:color="auto"/>
            <w:bottom w:val="none" w:sz="0" w:space="0" w:color="auto"/>
            <w:right w:val="none" w:sz="0" w:space="0" w:color="auto"/>
          </w:divBdr>
        </w:div>
        <w:div w:id="1579747261">
          <w:marLeft w:val="0"/>
          <w:marRight w:val="0"/>
          <w:marTop w:val="0"/>
          <w:marBottom w:val="0"/>
          <w:divBdr>
            <w:top w:val="none" w:sz="0" w:space="0" w:color="auto"/>
            <w:left w:val="none" w:sz="0" w:space="0" w:color="auto"/>
            <w:bottom w:val="none" w:sz="0" w:space="0" w:color="auto"/>
            <w:right w:val="none" w:sz="0" w:space="0" w:color="auto"/>
          </w:divBdr>
        </w:div>
        <w:div w:id="1804154464">
          <w:marLeft w:val="0"/>
          <w:marRight w:val="0"/>
          <w:marTop w:val="0"/>
          <w:marBottom w:val="0"/>
          <w:divBdr>
            <w:top w:val="none" w:sz="0" w:space="0" w:color="auto"/>
            <w:left w:val="none" w:sz="0" w:space="0" w:color="auto"/>
            <w:bottom w:val="none" w:sz="0" w:space="0" w:color="auto"/>
            <w:right w:val="none" w:sz="0" w:space="0" w:color="auto"/>
          </w:divBdr>
        </w:div>
        <w:div w:id="729500210">
          <w:marLeft w:val="0"/>
          <w:marRight w:val="0"/>
          <w:marTop w:val="0"/>
          <w:marBottom w:val="0"/>
          <w:divBdr>
            <w:top w:val="none" w:sz="0" w:space="0" w:color="auto"/>
            <w:left w:val="none" w:sz="0" w:space="0" w:color="auto"/>
            <w:bottom w:val="none" w:sz="0" w:space="0" w:color="auto"/>
            <w:right w:val="none" w:sz="0" w:space="0" w:color="auto"/>
          </w:divBdr>
        </w:div>
      </w:divsChild>
    </w:div>
    <w:div w:id="525365080">
      <w:bodyDiv w:val="1"/>
      <w:marLeft w:val="0"/>
      <w:marRight w:val="0"/>
      <w:marTop w:val="0"/>
      <w:marBottom w:val="0"/>
      <w:divBdr>
        <w:top w:val="none" w:sz="0" w:space="0" w:color="auto"/>
        <w:left w:val="none" w:sz="0" w:space="0" w:color="auto"/>
        <w:bottom w:val="none" w:sz="0" w:space="0" w:color="auto"/>
        <w:right w:val="none" w:sz="0" w:space="0" w:color="auto"/>
      </w:divBdr>
    </w:div>
    <w:div w:id="1241907885">
      <w:bodyDiv w:val="1"/>
      <w:marLeft w:val="0"/>
      <w:marRight w:val="0"/>
      <w:marTop w:val="0"/>
      <w:marBottom w:val="0"/>
      <w:divBdr>
        <w:top w:val="none" w:sz="0" w:space="0" w:color="auto"/>
        <w:left w:val="none" w:sz="0" w:space="0" w:color="auto"/>
        <w:bottom w:val="none" w:sz="0" w:space="0" w:color="auto"/>
        <w:right w:val="none" w:sz="0" w:space="0" w:color="auto"/>
      </w:divBdr>
    </w:div>
    <w:div w:id="1563908995">
      <w:bodyDiv w:val="1"/>
      <w:marLeft w:val="0"/>
      <w:marRight w:val="0"/>
      <w:marTop w:val="0"/>
      <w:marBottom w:val="0"/>
      <w:divBdr>
        <w:top w:val="none" w:sz="0" w:space="0" w:color="auto"/>
        <w:left w:val="none" w:sz="0" w:space="0" w:color="auto"/>
        <w:bottom w:val="none" w:sz="0" w:space="0" w:color="auto"/>
        <w:right w:val="none" w:sz="0" w:space="0" w:color="auto"/>
      </w:divBdr>
    </w:div>
    <w:div w:id="175624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www.biotek.com/products/microplate_detection/synergy2_multimode_microplate_reader.html"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iotek.com/products/microplate_detection/synergy2_multimode_microplate_reader.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https://s3-us-west-2.amazonaws.com/courses-images/wp-content/uploads/sites/1842/2017/05/26154546/figure-07-01-01ab.jpeg" TargetMode="External"/><Relationship Id="rId14" Type="http://schemas.openxmlformats.org/officeDocument/2006/relationships/image" Target="media/image5.emf"/><Relationship Id="rId22" Type="http://schemas.microsoft.com/office/2007/relationships/hdphoto" Target="media/hdphoto1.wdp"/></Relationships>
</file>

<file path=word/_rels/footnotes.xml.rels><?xml version="1.0" encoding="UTF-8" standalone="yes"?>
<Relationships xmlns="http://schemas.openxmlformats.org/package/2006/relationships"><Relationship Id="rId1" Type="http://schemas.openxmlformats.org/officeDocument/2006/relationships/hyperlink" Target="https://www.biotek.com/resources/application-notes/determining-nadh-concentrations-with-synergy-2-multi-mode-microplate-reader-using-fluorescence-or-absorb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64837-52B3-424C-A6B7-E70CD9B7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dc:creator>
  <cp:lastModifiedBy>Thomas J. Wenzel</cp:lastModifiedBy>
  <cp:revision>2</cp:revision>
  <cp:lastPrinted>2018-09-20T12:45:00Z</cp:lastPrinted>
  <dcterms:created xsi:type="dcterms:W3CDTF">2020-07-03T20:40:00Z</dcterms:created>
  <dcterms:modified xsi:type="dcterms:W3CDTF">2020-07-03T20:40:00Z</dcterms:modified>
</cp:coreProperties>
</file>