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624FF" w:rsidRDefault="00F7255B" w:rsidP="00F7255B">
      <w:pPr>
        <w:jc w:val="center"/>
        <w:rPr>
          <w:b/>
        </w:rPr>
      </w:pPr>
      <w:r>
        <w:rPr>
          <w:b/>
        </w:rPr>
        <w:t>Introduction to Immunoassays</w:t>
      </w:r>
    </w:p>
    <w:p w:rsidR="00F7255B" w:rsidRDefault="00F7255B" w:rsidP="00F7255B">
      <w:pPr>
        <w:jc w:val="center"/>
      </w:pPr>
      <w:r w:rsidRPr="00F7255B">
        <w:t>Chem 5720</w:t>
      </w:r>
    </w:p>
    <w:p w:rsidR="00F7255B" w:rsidRDefault="002957AE">
      <w:r>
        <w:t>For the question</w:t>
      </w:r>
      <w:r w:rsidR="00EB0604">
        <w:t>s</w:t>
      </w:r>
      <w:r>
        <w:t xml:space="preserve"> below, y</w:t>
      </w:r>
      <w:r w:rsidR="00C72BBD">
        <w:t>ou have the following pieces av</w:t>
      </w:r>
      <w:r>
        <w:t>ailable to build an immunoassay.  You may use some or all of them, in any combination, and may use more than one instance of each piece if needed.  You can also wash with buffer in between steps to remove excess of the reagent that you just added.</w:t>
      </w:r>
    </w:p>
    <w:p w:rsidR="00C72BBD" w:rsidRDefault="00EB0604" w:rsidP="002957AE">
      <w:pPr>
        <w:ind w:firstLine="720"/>
      </w:pPr>
      <w:r>
        <w:object w:dxaOrig="7219" w:dyaOrig="52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pt;height:243pt" o:ole="">
            <v:imagedata r:id="rId7" o:title=""/>
          </v:shape>
          <o:OLEObject Type="Embed" ProgID="ChemDraw.Document.6.0" ShapeID="_x0000_i1025" DrawAspect="Content" ObjectID="_1656512509" r:id="rId8"/>
        </w:object>
      </w:r>
    </w:p>
    <w:p w:rsidR="002957AE" w:rsidRDefault="002957AE" w:rsidP="00EB0604">
      <w:pPr>
        <w:pStyle w:val="ListParagraph"/>
        <w:numPr>
          <w:ilvl w:val="0"/>
          <w:numId w:val="1"/>
        </w:numPr>
        <w:ind w:left="360"/>
      </w:pPr>
      <w:r>
        <w:t xml:space="preserve">You are trying to detect </w:t>
      </w:r>
      <w:r w:rsidR="00EB0604">
        <w:t xml:space="preserve">protein </w:t>
      </w:r>
      <w:r>
        <w:t>analyte A in a complex biological sample that contains many other analytes</w:t>
      </w:r>
      <w:r w:rsidR="00EB0604">
        <w:t xml:space="preserve">, using a </w:t>
      </w:r>
      <w:r w:rsidR="00EB0604" w:rsidRPr="00A868D5">
        <w:rPr>
          <w:u w:val="single"/>
        </w:rPr>
        <w:t>heterogeneous immunoassay</w:t>
      </w:r>
      <w:r w:rsidR="00EB0604">
        <w:t>.</w:t>
      </w:r>
      <w:r>
        <w:t xml:space="preserve">  </w:t>
      </w:r>
      <w:r w:rsidR="00905403">
        <w:t xml:space="preserve">Heterogeneous means that the assay is conducted on a solid surface, e.g. a plastic plate.  </w:t>
      </w:r>
      <w:r w:rsidR="00EB0604">
        <w:t>You will use an enzymatic reporter.</w:t>
      </w:r>
    </w:p>
    <w:p w:rsidR="00905403" w:rsidRDefault="00905403" w:rsidP="00905403">
      <w:pPr>
        <w:pStyle w:val="ListParagraph"/>
        <w:ind w:left="360"/>
      </w:pPr>
    </w:p>
    <w:p w:rsidR="002957AE" w:rsidRDefault="002957AE" w:rsidP="00EB0604">
      <w:pPr>
        <w:pStyle w:val="ListParagraph"/>
        <w:numPr>
          <w:ilvl w:val="1"/>
          <w:numId w:val="1"/>
        </w:numPr>
        <w:ind w:left="1080"/>
      </w:pPr>
      <w:r>
        <w:t xml:space="preserve">What type of immobilization strategy </w:t>
      </w:r>
      <w:r w:rsidR="00EB0604">
        <w:t>is preferable</w:t>
      </w:r>
      <w:r>
        <w:t>?  Direct OR Indirect Capture</w:t>
      </w:r>
    </w:p>
    <w:p w:rsidR="00EB0604" w:rsidRDefault="00EB0604" w:rsidP="00EB0604">
      <w:pPr>
        <w:pStyle w:val="ListParagraph"/>
        <w:ind w:left="1080"/>
      </w:pPr>
      <w:r>
        <w:t>Why?</w:t>
      </w:r>
    </w:p>
    <w:p w:rsidR="00EB0604" w:rsidRDefault="00EB0604" w:rsidP="00EB0604">
      <w:pPr>
        <w:pStyle w:val="ListParagraph"/>
        <w:ind w:left="1080"/>
      </w:pPr>
    </w:p>
    <w:p w:rsidR="00EB0604" w:rsidRDefault="00EB0604" w:rsidP="00EB0604">
      <w:pPr>
        <w:pStyle w:val="ListParagraph"/>
        <w:ind w:left="1080"/>
      </w:pPr>
    </w:p>
    <w:p w:rsidR="00EB0604" w:rsidRDefault="00EB0604" w:rsidP="00EB0604">
      <w:pPr>
        <w:pStyle w:val="ListParagraph"/>
        <w:numPr>
          <w:ilvl w:val="1"/>
          <w:numId w:val="1"/>
        </w:numPr>
        <w:ind w:left="1080"/>
      </w:pPr>
      <w:r>
        <w:t xml:space="preserve">Sketch complete schematics for two versions of this assay.  </w:t>
      </w:r>
    </w:p>
    <w:p w:rsidR="00EB0604" w:rsidRPr="00EB0604" w:rsidRDefault="00EB0604" w:rsidP="00EB0604">
      <w:pPr>
        <w:pStyle w:val="ListParagraph"/>
        <w:ind w:left="1080"/>
        <w:rPr>
          <w:u w:val="single"/>
        </w:rPr>
      </w:pPr>
      <w:r w:rsidRPr="00EB0604">
        <w:rPr>
          <w:u w:val="single"/>
        </w:rPr>
        <w:t>Direct detection</w:t>
      </w:r>
      <w:r>
        <w:tab/>
      </w:r>
      <w:r>
        <w:tab/>
      </w:r>
      <w:r>
        <w:tab/>
      </w:r>
      <w:r>
        <w:tab/>
      </w:r>
      <w:r>
        <w:tab/>
      </w:r>
      <w:r w:rsidRPr="00EB0604">
        <w:t xml:space="preserve"> </w:t>
      </w:r>
      <w:r w:rsidRPr="00EB0604">
        <w:rPr>
          <w:u w:val="single"/>
        </w:rPr>
        <w:t>Indirect detection</w:t>
      </w:r>
    </w:p>
    <w:p w:rsidR="00EB0604" w:rsidRDefault="00EB0604" w:rsidP="00EB0604"/>
    <w:p w:rsidR="00EB0604" w:rsidRDefault="00EB0604">
      <w:r>
        <w:br w:type="page"/>
      </w:r>
    </w:p>
    <w:p w:rsidR="005B38F7" w:rsidRDefault="005B38F7" w:rsidP="005B38F7">
      <w:pPr>
        <w:pStyle w:val="ListParagraph"/>
        <w:numPr>
          <w:ilvl w:val="1"/>
          <w:numId w:val="1"/>
        </w:numPr>
      </w:pPr>
      <w:r>
        <w:lastRenderedPageBreak/>
        <w:t>What is another name for this type of immunoassay?</w:t>
      </w:r>
    </w:p>
    <w:p w:rsidR="00B71F6C" w:rsidRDefault="00B71F6C" w:rsidP="00B71F6C">
      <w:pPr>
        <w:pStyle w:val="ListParagraph"/>
        <w:ind w:left="1440"/>
      </w:pPr>
    </w:p>
    <w:p w:rsidR="00B71F6C" w:rsidRDefault="00B71F6C" w:rsidP="00B71F6C">
      <w:pPr>
        <w:pStyle w:val="ListParagraph"/>
        <w:ind w:left="1440"/>
      </w:pPr>
    </w:p>
    <w:p w:rsidR="005B38F7" w:rsidRDefault="005B38F7" w:rsidP="005B38F7">
      <w:pPr>
        <w:pStyle w:val="ListParagraph"/>
        <w:numPr>
          <w:ilvl w:val="1"/>
          <w:numId w:val="1"/>
        </w:numPr>
      </w:pPr>
      <w:r>
        <w:t xml:space="preserve">What must be true </w:t>
      </w:r>
      <w:r w:rsidRPr="005B38F7">
        <w:t xml:space="preserve">about the capture and detection antibodies in </w:t>
      </w:r>
      <w:r>
        <w:t xml:space="preserve">this assay, </w:t>
      </w:r>
      <w:r w:rsidRPr="005B38F7">
        <w:t>with respect to their binding sites</w:t>
      </w:r>
      <w:r>
        <w:t xml:space="preserve"> on the antigen, to have a successful assay</w:t>
      </w:r>
      <w:r w:rsidRPr="005B38F7">
        <w:t xml:space="preserve">? </w:t>
      </w:r>
    </w:p>
    <w:p w:rsidR="005B38F7" w:rsidRDefault="005B38F7" w:rsidP="005B38F7">
      <w:pPr>
        <w:pStyle w:val="ListParagraph"/>
        <w:ind w:left="1440"/>
      </w:pPr>
    </w:p>
    <w:p w:rsidR="005B38F7" w:rsidRDefault="005B38F7" w:rsidP="005B38F7">
      <w:pPr>
        <w:pStyle w:val="ListParagraph"/>
        <w:ind w:left="1440"/>
      </w:pPr>
    </w:p>
    <w:p w:rsidR="005B38F7" w:rsidRDefault="005B38F7" w:rsidP="005B38F7">
      <w:pPr>
        <w:pStyle w:val="ListParagraph"/>
        <w:ind w:left="1440"/>
      </w:pPr>
    </w:p>
    <w:p w:rsidR="005B38F7" w:rsidRDefault="005B38F7" w:rsidP="005B38F7">
      <w:pPr>
        <w:pStyle w:val="ListParagraph"/>
        <w:ind w:left="1440"/>
      </w:pPr>
    </w:p>
    <w:p w:rsidR="005B38F7" w:rsidRDefault="005B38F7" w:rsidP="005B38F7">
      <w:pPr>
        <w:pStyle w:val="ListParagraph"/>
        <w:ind w:left="1440"/>
      </w:pPr>
    </w:p>
    <w:p w:rsidR="005B38F7" w:rsidRDefault="005B38F7" w:rsidP="005B38F7">
      <w:pPr>
        <w:pStyle w:val="ListParagraph"/>
        <w:numPr>
          <w:ilvl w:val="1"/>
          <w:numId w:val="1"/>
        </w:numPr>
      </w:pPr>
      <w:r>
        <w:t>Which must be present in molar excess, the antibodies or the antigen, to make the signal linear with the concentration of analyte?</w:t>
      </w:r>
    </w:p>
    <w:p w:rsidR="005B38F7" w:rsidRDefault="005B38F7" w:rsidP="005B38F7"/>
    <w:p w:rsidR="005B38F7" w:rsidRDefault="005B38F7" w:rsidP="005B38F7"/>
    <w:p w:rsidR="005B38F7" w:rsidRDefault="005B38F7" w:rsidP="005B38F7"/>
    <w:p w:rsidR="005B38F7" w:rsidRDefault="005B38F7" w:rsidP="00EB0604"/>
    <w:p w:rsidR="00EB0604" w:rsidRDefault="00EB0604" w:rsidP="00EB0604">
      <w:r>
        <w:t>2.  You</w:t>
      </w:r>
      <w:r w:rsidR="00B71F6C">
        <w:t xml:space="preserve"> recently produced the analyte A recombinantly</w:t>
      </w:r>
      <w:r>
        <w:t xml:space="preserve">, and need to quantify its concentration in solution.  You will use a heterogeneous immunoassay to do so.  </w:t>
      </w:r>
    </w:p>
    <w:p w:rsidR="00EB0604" w:rsidRDefault="00EB0604" w:rsidP="00EB0604">
      <w:r>
        <w:tab/>
        <w:t xml:space="preserve">a.   </w:t>
      </w:r>
      <w:r w:rsidR="00B71F6C">
        <w:t>For the simplest possible assay, w</w:t>
      </w:r>
      <w:r>
        <w:t xml:space="preserve">hat should you adsorb to the plate?  </w:t>
      </w:r>
    </w:p>
    <w:p w:rsidR="00EB0604" w:rsidRDefault="00EB0604" w:rsidP="00EB0604"/>
    <w:p w:rsidR="00B71F6C" w:rsidRDefault="00EB0604" w:rsidP="00EB0604">
      <w:pPr>
        <w:pStyle w:val="ListParagraph"/>
        <w:numPr>
          <w:ilvl w:val="0"/>
          <w:numId w:val="3"/>
        </w:numPr>
      </w:pPr>
      <w:r>
        <w:t xml:space="preserve">Sketch </w:t>
      </w:r>
      <w:r w:rsidR="00B71F6C">
        <w:t>c</w:t>
      </w:r>
      <w:r>
        <w:t>omplete schematic</w:t>
      </w:r>
      <w:r w:rsidR="00B71F6C">
        <w:t>s</w:t>
      </w:r>
      <w:r>
        <w:t xml:space="preserve"> for </w:t>
      </w:r>
      <w:r w:rsidR="00B71F6C">
        <w:t xml:space="preserve">two versions of </w:t>
      </w:r>
      <w:r w:rsidR="005B38F7">
        <w:t xml:space="preserve">this assay, using </w:t>
      </w:r>
      <w:r w:rsidR="00B71F6C">
        <w:t>direct</w:t>
      </w:r>
      <w:r w:rsidR="005B38F7">
        <w:t xml:space="preserve"> detection</w:t>
      </w:r>
      <w:r w:rsidR="00B71F6C">
        <w:t>:</w:t>
      </w:r>
    </w:p>
    <w:p w:rsidR="005B38F7" w:rsidRPr="00B71F6C" w:rsidRDefault="00B71F6C" w:rsidP="00B71F6C">
      <w:pPr>
        <w:pStyle w:val="ListParagraph"/>
        <w:ind w:left="1080"/>
        <w:rPr>
          <w:u w:val="single"/>
        </w:rPr>
      </w:pPr>
      <w:r>
        <w:rPr>
          <w:u w:val="single"/>
        </w:rPr>
        <w:t>Enzymatic reporter</w:t>
      </w:r>
      <w:r>
        <w:rPr>
          <w:u w:val="single"/>
        </w:rPr>
        <w:tab/>
      </w:r>
      <w:r w:rsidRPr="00B71F6C">
        <w:tab/>
      </w:r>
      <w:r w:rsidRPr="00B71F6C">
        <w:tab/>
      </w:r>
      <w:r w:rsidRPr="00B71F6C">
        <w:tab/>
      </w:r>
      <w:r w:rsidRPr="00B71F6C">
        <w:tab/>
      </w:r>
      <w:r w:rsidRPr="00B71F6C">
        <w:rPr>
          <w:u w:val="single"/>
        </w:rPr>
        <w:t xml:space="preserve">Conjugated fluorophore </w:t>
      </w:r>
      <w:r>
        <w:rPr>
          <w:u w:val="single"/>
        </w:rPr>
        <w:t xml:space="preserve">as a </w:t>
      </w:r>
      <w:r w:rsidRPr="00B71F6C">
        <w:rPr>
          <w:u w:val="single"/>
        </w:rPr>
        <w:t>reporter</w:t>
      </w:r>
      <w:r>
        <w:tab/>
      </w:r>
    </w:p>
    <w:p w:rsidR="005B38F7" w:rsidRDefault="005B38F7" w:rsidP="005B38F7"/>
    <w:p w:rsidR="005B38F7" w:rsidRDefault="005B38F7" w:rsidP="005B38F7"/>
    <w:p w:rsidR="005B38F7" w:rsidRDefault="005B38F7" w:rsidP="005B38F7"/>
    <w:p w:rsidR="005B38F7" w:rsidRDefault="005B38F7" w:rsidP="005B38F7"/>
    <w:p w:rsidR="005B38F7" w:rsidRDefault="005B38F7">
      <w:r>
        <w:br w:type="page"/>
      </w:r>
    </w:p>
    <w:p w:rsidR="00B71F6C" w:rsidRDefault="00B71F6C" w:rsidP="00B71F6C">
      <w:pPr>
        <w:pStyle w:val="ListParagraph"/>
        <w:numPr>
          <w:ilvl w:val="0"/>
          <w:numId w:val="4"/>
        </w:numPr>
      </w:pPr>
      <w:r>
        <w:lastRenderedPageBreak/>
        <w:t>Comparing immunoassay strategies.  For each of the options below, describe the advantages/disadvantages of each, or when each option might be most suitable.</w:t>
      </w:r>
    </w:p>
    <w:p w:rsidR="00B71F6C" w:rsidRDefault="00B71F6C" w:rsidP="00B71F6C">
      <w:pPr>
        <w:pStyle w:val="ListParagraph"/>
      </w:pPr>
    </w:p>
    <w:p w:rsidR="00B71F6C" w:rsidRDefault="00B71F6C" w:rsidP="00B71F6C">
      <w:pPr>
        <w:pStyle w:val="ListParagraph"/>
      </w:pPr>
    </w:p>
    <w:p w:rsidR="00B71F6C" w:rsidRDefault="00B71F6C" w:rsidP="00B71F6C">
      <w:pPr>
        <w:pStyle w:val="ListParagraph"/>
        <w:numPr>
          <w:ilvl w:val="1"/>
          <w:numId w:val="4"/>
        </w:numPr>
      </w:pPr>
      <w:r>
        <w:t>Direct capture vs indirect capture of the antigen.</w:t>
      </w:r>
    </w:p>
    <w:p w:rsidR="00B71F6C" w:rsidRDefault="00B71F6C" w:rsidP="00B71F6C"/>
    <w:p w:rsidR="00B71F6C" w:rsidRDefault="00B71F6C" w:rsidP="00B71F6C"/>
    <w:p w:rsidR="00B71F6C" w:rsidRDefault="00B71F6C" w:rsidP="00B71F6C"/>
    <w:p w:rsidR="00B71F6C" w:rsidRDefault="00B71F6C" w:rsidP="00B71F6C"/>
    <w:p w:rsidR="00B71F6C" w:rsidRDefault="00B71F6C" w:rsidP="00B71F6C"/>
    <w:p w:rsidR="00B71F6C" w:rsidRDefault="00B71F6C" w:rsidP="00B71F6C"/>
    <w:p w:rsidR="00B71F6C" w:rsidRDefault="00B71F6C" w:rsidP="00B71F6C">
      <w:pPr>
        <w:pStyle w:val="ListParagraph"/>
        <w:numPr>
          <w:ilvl w:val="1"/>
          <w:numId w:val="1"/>
        </w:numPr>
      </w:pPr>
      <w:r>
        <w:t>Direct vs indirect detection.</w:t>
      </w:r>
    </w:p>
    <w:p w:rsidR="00B71F6C" w:rsidRDefault="00B71F6C" w:rsidP="00B71F6C">
      <w:pPr>
        <w:pStyle w:val="ListParagraph"/>
      </w:pPr>
    </w:p>
    <w:p w:rsidR="00B71F6C" w:rsidRDefault="00B71F6C" w:rsidP="00B71F6C">
      <w:pPr>
        <w:pStyle w:val="ListParagraph"/>
      </w:pPr>
    </w:p>
    <w:p w:rsidR="00B71F6C" w:rsidRDefault="00B71F6C" w:rsidP="00B71F6C">
      <w:pPr>
        <w:pStyle w:val="ListParagraph"/>
      </w:pPr>
    </w:p>
    <w:p w:rsidR="00B71F6C" w:rsidRDefault="00B71F6C" w:rsidP="00B71F6C">
      <w:pPr>
        <w:pStyle w:val="ListParagraph"/>
      </w:pPr>
    </w:p>
    <w:p w:rsidR="00B71F6C" w:rsidRDefault="00B71F6C" w:rsidP="00B71F6C">
      <w:pPr>
        <w:pStyle w:val="ListParagraph"/>
      </w:pPr>
    </w:p>
    <w:p w:rsidR="00B71F6C" w:rsidRDefault="00B71F6C" w:rsidP="00B71F6C">
      <w:pPr>
        <w:pStyle w:val="ListParagraph"/>
      </w:pPr>
    </w:p>
    <w:p w:rsidR="00B71F6C" w:rsidRDefault="00B71F6C" w:rsidP="00B71F6C">
      <w:pPr>
        <w:pStyle w:val="ListParagraph"/>
      </w:pPr>
    </w:p>
    <w:p w:rsidR="00B71F6C" w:rsidRDefault="00B71F6C" w:rsidP="00B71F6C">
      <w:pPr>
        <w:pStyle w:val="ListParagraph"/>
      </w:pPr>
    </w:p>
    <w:p w:rsidR="00B71F6C" w:rsidRDefault="00B71F6C" w:rsidP="00B71F6C">
      <w:pPr>
        <w:pStyle w:val="ListParagraph"/>
      </w:pPr>
    </w:p>
    <w:p w:rsidR="005B38F7" w:rsidRDefault="00B71F6C" w:rsidP="005B38F7">
      <w:pPr>
        <w:pStyle w:val="ListParagraph"/>
        <w:numPr>
          <w:ilvl w:val="1"/>
          <w:numId w:val="1"/>
        </w:numPr>
      </w:pPr>
      <w:r>
        <w:t>Linear (e.g. one or more conjugated f</w:t>
      </w:r>
      <w:r w:rsidR="005B38F7">
        <w:t>luorophore</w:t>
      </w:r>
      <w:r>
        <w:t xml:space="preserve">s) vs enzymatic reporter. </w:t>
      </w:r>
    </w:p>
    <w:p w:rsidR="005B38F7" w:rsidRDefault="005B38F7" w:rsidP="005B38F7"/>
    <w:p w:rsidR="00EB0604" w:rsidRDefault="00EB0604" w:rsidP="005B38F7">
      <w:r>
        <w:t xml:space="preserve">  </w:t>
      </w:r>
    </w:p>
    <w:p w:rsidR="00B71F6C" w:rsidRDefault="00B71F6C">
      <w:r>
        <w:br w:type="page"/>
      </w:r>
    </w:p>
    <w:p w:rsidR="00EB0604" w:rsidRDefault="00B71F6C" w:rsidP="00B71F6C">
      <w:pPr>
        <w:pStyle w:val="ListParagraph"/>
        <w:numPr>
          <w:ilvl w:val="0"/>
          <w:numId w:val="4"/>
        </w:numPr>
      </w:pPr>
      <w:r>
        <w:lastRenderedPageBreak/>
        <w:t xml:space="preserve"> Sketch a plot of what typical data from a non-competitive immunoassay looks like.  Label the axes.  Demarcate the linear range of the assay as well as what happens above and below it.</w:t>
      </w:r>
    </w:p>
    <w:p w:rsidR="00B71F6C" w:rsidRDefault="00B71F6C" w:rsidP="00B71F6C"/>
    <w:p w:rsidR="00B71F6C" w:rsidRDefault="00B71F6C" w:rsidP="00B71F6C"/>
    <w:p w:rsidR="00B71F6C" w:rsidRDefault="00B71F6C" w:rsidP="00B71F6C"/>
    <w:p w:rsidR="00EB0604" w:rsidRDefault="00EB0604" w:rsidP="00EB0604"/>
    <w:p w:rsidR="00EB0604" w:rsidRDefault="00EB0604" w:rsidP="00EB0604"/>
    <w:p w:rsidR="00FF0101" w:rsidRDefault="00FF0101" w:rsidP="00EB0604"/>
    <w:p w:rsidR="00FF0101" w:rsidRDefault="00FF0101" w:rsidP="00EB0604"/>
    <w:p w:rsidR="00FF0101" w:rsidRDefault="00FF0101" w:rsidP="00EB0604"/>
    <w:p w:rsidR="00FF0101" w:rsidRDefault="00FF0101" w:rsidP="00EB0604"/>
    <w:p w:rsidR="00FF0101" w:rsidRDefault="00FF0101" w:rsidP="00EB0604"/>
    <w:p w:rsidR="00FF0101" w:rsidRDefault="00FF0101" w:rsidP="00EB0604"/>
    <w:p w:rsidR="00FF0101" w:rsidRDefault="00FF0101" w:rsidP="00EB0604"/>
    <w:p w:rsidR="00FF0101" w:rsidRDefault="00FF0101" w:rsidP="00EB0604"/>
    <w:p w:rsidR="00FF0101" w:rsidRDefault="00FF0101" w:rsidP="00EB0604"/>
    <w:p w:rsidR="00FF0101" w:rsidRDefault="00FF0101" w:rsidP="00EB0604"/>
    <w:p w:rsidR="00FF0101" w:rsidRDefault="00FF0101" w:rsidP="00EB0604"/>
    <w:p w:rsidR="00FF0101" w:rsidRDefault="00FF0101" w:rsidP="00EB0604"/>
    <w:p w:rsidR="00FF0101" w:rsidRDefault="00FF0101" w:rsidP="00EB0604"/>
    <w:p w:rsidR="00FF0101" w:rsidRDefault="00FF0101" w:rsidP="00EB0604"/>
    <w:p w:rsidR="00FF0101" w:rsidRDefault="00FF0101" w:rsidP="00EB0604"/>
    <w:p w:rsidR="00FF0101" w:rsidRDefault="00FF0101" w:rsidP="00EB0604"/>
    <w:p w:rsidR="00FF0101" w:rsidRDefault="00FF0101" w:rsidP="00EB0604"/>
    <w:p w:rsidR="00FF0101" w:rsidRDefault="00FF0101" w:rsidP="00EB0604"/>
    <w:p w:rsidR="00FF0101" w:rsidRDefault="00FF0101" w:rsidP="00EB0604"/>
    <w:p w:rsidR="00580A9A" w:rsidRPr="000F0B61" w:rsidRDefault="00580A9A" w:rsidP="00580A9A">
      <w:pPr>
        <w:jc w:val="center"/>
        <w:rPr>
          <w:b/>
        </w:rPr>
      </w:pPr>
      <w:r w:rsidRPr="000F0B61">
        <w:rPr>
          <w:b/>
        </w:rPr>
        <w:lastRenderedPageBreak/>
        <w:t>Antibody immobilization and labelling strategies</w:t>
      </w:r>
    </w:p>
    <w:p w:rsidR="00580A9A" w:rsidRPr="000F0B61" w:rsidRDefault="00580A9A" w:rsidP="00580A9A">
      <w:pPr>
        <w:jc w:val="center"/>
        <w:rPr>
          <w:b/>
        </w:rPr>
      </w:pPr>
      <w:r w:rsidRPr="000F0B61">
        <w:rPr>
          <w:b/>
        </w:rPr>
        <w:t>CHEM 5720</w:t>
      </w:r>
    </w:p>
    <w:p w:rsidR="00580A9A" w:rsidRDefault="00580A9A" w:rsidP="00580A9A">
      <w:pPr>
        <w:spacing w:after="0" w:line="240" w:lineRule="auto"/>
        <w:rPr>
          <w:rFonts w:ascii="Calibri" w:eastAsia="Times New Roman" w:hAnsi="Calibri" w:cs="Calibri"/>
        </w:rPr>
      </w:pPr>
      <w:r>
        <w:rPr>
          <w:rFonts w:ascii="Calibri" w:eastAsia="Times New Roman" w:hAnsi="Calibri" w:cs="Calibri"/>
        </w:rPr>
        <w:t>Learning goals.  Students will be able to:</w:t>
      </w:r>
    </w:p>
    <w:p w:rsidR="00580A9A" w:rsidRDefault="00580A9A" w:rsidP="00580A9A">
      <w:pPr>
        <w:pStyle w:val="ListParagraph"/>
        <w:numPr>
          <w:ilvl w:val="0"/>
          <w:numId w:val="9"/>
        </w:numPr>
        <w:spacing w:after="0" w:line="240" w:lineRule="auto"/>
        <w:ind w:left="360"/>
        <w:rPr>
          <w:rFonts w:ascii="Calibri" w:eastAsia="Times New Roman" w:hAnsi="Calibri" w:cs="Calibri"/>
        </w:rPr>
      </w:pPr>
      <w:r>
        <w:rPr>
          <w:rFonts w:ascii="Calibri" w:eastAsia="Times New Roman" w:hAnsi="Calibri" w:cs="Calibri"/>
        </w:rPr>
        <w:t>Describe the differences between oriented and non-oriented immobilization strategies and recognize the impact of orientation of protein function.</w:t>
      </w:r>
    </w:p>
    <w:p w:rsidR="00580A9A" w:rsidRPr="00A61B56" w:rsidRDefault="00580A9A" w:rsidP="00580A9A">
      <w:pPr>
        <w:pStyle w:val="ListParagraph"/>
        <w:numPr>
          <w:ilvl w:val="0"/>
          <w:numId w:val="9"/>
        </w:numPr>
        <w:spacing w:after="0" w:line="240" w:lineRule="auto"/>
        <w:ind w:left="360"/>
        <w:rPr>
          <w:rFonts w:ascii="Calibri" w:eastAsia="Times New Roman" w:hAnsi="Calibri" w:cs="Calibri"/>
        </w:rPr>
      </w:pPr>
      <w:r w:rsidRPr="00A61B56">
        <w:rPr>
          <w:rFonts w:ascii="Calibri" w:eastAsia="Times New Roman" w:hAnsi="Calibri" w:cs="Calibri"/>
        </w:rPr>
        <w:t>Describe the mechanism of non-covalent adhesion of a biomolecule to a surface, and define experimental parameters that affect the efficiency of adhesion.</w:t>
      </w:r>
    </w:p>
    <w:p w:rsidR="00580A9A" w:rsidRDefault="00580A9A" w:rsidP="00580A9A">
      <w:pPr>
        <w:pStyle w:val="ListParagraph"/>
        <w:numPr>
          <w:ilvl w:val="0"/>
          <w:numId w:val="9"/>
        </w:numPr>
        <w:spacing w:after="0" w:line="240" w:lineRule="auto"/>
        <w:ind w:left="360"/>
        <w:rPr>
          <w:rFonts w:ascii="Calibri" w:eastAsia="Times New Roman" w:hAnsi="Calibri" w:cs="Calibri"/>
        </w:rPr>
      </w:pPr>
      <w:r>
        <w:rPr>
          <w:rFonts w:ascii="Calibri" w:eastAsia="Times New Roman" w:hAnsi="Calibri" w:cs="Calibri"/>
        </w:rPr>
        <w:t>Describe multiple options for oriented antibody binding using biomolecules, and recognize their limitations.</w:t>
      </w:r>
    </w:p>
    <w:p w:rsidR="00580A9A" w:rsidRDefault="00580A9A" w:rsidP="00580A9A">
      <w:pPr>
        <w:pStyle w:val="ListParagraph"/>
        <w:numPr>
          <w:ilvl w:val="0"/>
          <w:numId w:val="9"/>
        </w:numPr>
        <w:spacing w:after="0" w:line="240" w:lineRule="auto"/>
        <w:ind w:left="360"/>
        <w:rPr>
          <w:rFonts w:ascii="Calibri" w:eastAsia="Times New Roman" w:hAnsi="Calibri" w:cs="Calibri"/>
        </w:rPr>
      </w:pPr>
      <w:r>
        <w:rPr>
          <w:rFonts w:ascii="Calibri" w:eastAsia="Times New Roman" w:hAnsi="Calibri" w:cs="Calibri"/>
        </w:rPr>
        <w:t>Describe biotin-streptavidin binding and its uses for protein immobilization.</w:t>
      </w:r>
    </w:p>
    <w:p w:rsidR="00580A9A" w:rsidRDefault="00580A9A" w:rsidP="00580A9A">
      <w:pPr>
        <w:pStyle w:val="ListParagraph"/>
        <w:numPr>
          <w:ilvl w:val="0"/>
          <w:numId w:val="9"/>
        </w:numPr>
        <w:spacing w:after="0" w:line="240" w:lineRule="auto"/>
        <w:ind w:left="360"/>
        <w:rPr>
          <w:rFonts w:ascii="Calibri" w:eastAsia="Times New Roman" w:hAnsi="Calibri" w:cs="Calibri"/>
        </w:rPr>
      </w:pPr>
      <w:r>
        <w:rPr>
          <w:rFonts w:ascii="Calibri" w:eastAsia="Times New Roman" w:hAnsi="Calibri" w:cs="Calibri"/>
        </w:rPr>
        <w:t>Look up and find chemical and biochemical information using online resources.</w:t>
      </w:r>
    </w:p>
    <w:p w:rsidR="00580A9A" w:rsidRDefault="00580A9A" w:rsidP="00580A9A">
      <w:pPr>
        <w:pStyle w:val="ListParagraph"/>
        <w:spacing w:after="0" w:line="240" w:lineRule="auto"/>
        <w:ind w:left="900"/>
        <w:rPr>
          <w:rFonts w:ascii="Calibri" w:eastAsia="Times New Roman" w:hAnsi="Calibri" w:cs="Calibri"/>
        </w:rPr>
      </w:pPr>
    </w:p>
    <w:p w:rsidR="00580A9A" w:rsidRDefault="00580A9A" w:rsidP="00580A9A">
      <w:pPr>
        <w:pStyle w:val="ListParagraph"/>
        <w:spacing w:after="0" w:line="240" w:lineRule="auto"/>
        <w:ind w:left="900"/>
        <w:rPr>
          <w:rFonts w:ascii="Calibri" w:eastAsia="Times New Roman" w:hAnsi="Calibri" w:cs="Calibri"/>
        </w:rPr>
      </w:pPr>
    </w:p>
    <w:p w:rsidR="00580A9A" w:rsidRDefault="00580A9A" w:rsidP="00580A9A">
      <w:pPr>
        <w:spacing w:after="0" w:line="240" w:lineRule="auto"/>
        <w:rPr>
          <w:rFonts w:ascii="Calibri" w:eastAsia="Times New Roman" w:hAnsi="Calibri" w:cs="Calibri"/>
          <w:b/>
          <w:u w:val="single"/>
        </w:rPr>
      </w:pPr>
      <w:r>
        <w:rPr>
          <w:rFonts w:ascii="Calibri" w:eastAsia="Times New Roman" w:hAnsi="Calibri" w:cs="Calibri"/>
          <w:b/>
          <w:u w:val="single"/>
        </w:rPr>
        <w:t xml:space="preserve">Part I.  What do we mean random </w:t>
      </w:r>
      <w:proofErr w:type="gramStart"/>
      <w:r>
        <w:rPr>
          <w:rFonts w:ascii="Calibri" w:eastAsia="Times New Roman" w:hAnsi="Calibri" w:cs="Calibri"/>
          <w:b/>
          <w:u w:val="single"/>
        </w:rPr>
        <w:t>vs oriented</w:t>
      </w:r>
      <w:proofErr w:type="gramEnd"/>
      <w:r>
        <w:rPr>
          <w:rFonts w:ascii="Calibri" w:eastAsia="Times New Roman" w:hAnsi="Calibri" w:cs="Calibri"/>
          <w:b/>
          <w:u w:val="single"/>
        </w:rPr>
        <w:t xml:space="preserve"> attachment?</w:t>
      </w:r>
    </w:p>
    <w:p w:rsidR="00580A9A" w:rsidRDefault="00580A9A" w:rsidP="00580A9A">
      <w:pPr>
        <w:spacing w:after="0" w:line="240" w:lineRule="auto"/>
        <w:rPr>
          <w:rFonts w:ascii="Calibri" w:eastAsia="Times New Roman" w:hAnsi="Calibri" w:cs="Calibri"/>
          <w:b/>
          <w:u w:val="single"/>
        </w:rPr>
      </w:pPr>
    </w:p>
    <w:p w:rsidR="00580A9A" w:rsidRDefault="00580A9A" w:rsidP="00580A9A">
      <w:pPr>
        <w:pStyle w:val="ListParagraph"/>
        <w:numPr>
          <w:ilvl w:val="0"/>
          <w:numId w:val="12"/>
        </w:numPr>
        <w:spacing w:after="0" w:line="240" w:lineRule="auto"/>
        <w:rPr>
          <w:rFonts w:ascii="Calibri" w:eastAsia="Times New Roman" w:hAnsi="Calibri" w:cs="Calibri"/>
        </w:rPr>
      </w:pPr>
      <w:r>
        <w:rPr>
          <w:rFonts w:ascii="Calibri" w:eastAsia="Times New Roman" w:hAnsi="Calibri" w:cs="Calibri"/>
        </w:rPr>
        <w:t>Draw schematics of antibodies attached in a non-oriented (random) or oriented manner on a surface.</w:t>
      </w:r>
    </w:p>
    <w:p w:rsidR="00580A9A" w:rsidRDefault="00580A9A" w:rsidP="00580A9A">
      <w:pPr>
        <w:spacing w:after="0" w:line="240" w:lineRule="auto"/>
        <w:rPr>
          <w:rFonts w:ascii="Calibri" w:eastAsia="Times New Roman" w:hAnsi="Calibri" w:cs="Calibri"/>
        </w:rPr>
      </w:pPr>
    </w:p>
    <w:p w:rsidR="00580A9A" w:rsidRDefault="00580A9A" w:rsidP="00580A9A">
      <w:pPr>
        <w:tabs>
          <w:tab w:val="left" w:pos="1060"/>
        </w:tabs>
        <w:spacing w:after="0" w:line="240" w:lineRule="auto"/>
        <w:rPr>
          <w:rFonts w:ascii="Calibri" w:eastAsia="Times New Roman" w:hAnsi="Calibri" w:cs="Calibri"/>
        </w:rPr>
      </w:pPr>
    </w:p>
    <w:p w:rsidR="00580A9A" w:rsidRDefault="00580A9A" w:rsidP="00580A9A">
      <w:pPr>
        <w:spacing w:after="0" w:line="240" w:lineRule="auto"/>
        <w:rPr>
          <w:rFonts w:ascii="Calibri" w:eastAsia="Times New Roman" w:hAnsi="Calibri" w:cs="Calibri"/>
        </w:rPr>
      </w:pPr>
    </w:p>
    <w:p w:rsidR="00580A9A" w:rsidRDefault="00580A9A" w:rsidP="00580A9A">
      <w:pPr>
        <w:spacing w:after="0" w:line="240" w:lineRule="auto"/>
        <w:rPr>
          <w:rFonts w:ascii="Calibri" w:eastAsia="Times New Roman" w:hAnsi="Calibri" w:cs="Calibri"/>
        </w:rPr>
      </w:pPr>
      <w:r>
        <w:rPr>
          <w:rFonts w:ascii="Calibri" w:eastAsia="Times New Roman" w:hAnsi="Calibri" w:cs="Calibri"/>
        </w:rPr>
        <w:tab/>
      </w:r>
      <w:r>
        <w:rPr>
          <w:rFonts w:ascii="Calibri" w:eastAsia="Times New Roman" w:hAnsi="Calibri" w:cs="Calibri"/>
        </w:rPr>
        <w:tab/>
        <w:t>______________________</w:t>
      </w:r>
      <w:r>
        <w:rPr>
          <w:rFonts w:ascii="Calibri" w:eastAsia="Times New Roman" w:hAnsi="Calibri" w:cs="Calibri"/>
        </w:rPr>
        <w:tab/>
      </w:r>
      <w:r>
        <w:rPr>
          <w:rFonts w:ascii="Calibri" w:eastAsia="Times New Roman" w:hAnsi="Calibri" w:cs="Calibri"/>
        </w:rPr>
        <w:tab/>
      </w:r>
      <w:r>
        <w:rPr>
          <w:rFonts w:ascii="Calibri" w:eastAsia="Times New Roman" w:hAnsi="Calibri" w:cs="Calibri"/>
        </w:rPr>
        <w:tab/>
        <w:t>_______________________</w:t>
      </w:r>
      <w:r>
        <w:rPr>
          <w:rFonts w:ascii="Calibri" w:eastAsia="Times New Roman" w:hAnsi="Calibri" w:cs="Calibri"/>
        </w:rPr>
        <w:tab/>
      </w:r>
    </w:p>
    <w:p w:rsidR="00580A9A" w:rsidRDefault="00580A9A" w:rsidP="00580A9A">
      <w:pPr>
        <w:spacing w:after="0" w:line="240" w:lineRule="auto"/>
        <w:rPr>
          <w:rFonts w:ascii="Calibri" w:eastAsia="Times New Roman" w:hAnsi="Calibri" w:cs="Calibri"/>
          <w:b/>
          <w:u w:val="single"/>
        </w:rPr>
      </w:pPr>
      <w:r>
        <w:rPr>
          <w:rFonts w:ascii="Calibri" w:eastAsia="Times New Roman" w:hAnsi="Calibri" w:cs="Calibri"/>
        </w:rPr>
        <w:tab/>
      </w:r>
      <w:r>
        <w:rPr>
          <w:rFonts w:ascii="Calibri" w:eastAsia="Times New Roman" w:hAnsi="Calibri" w:cs="Calibri"/>
        </w:rPr>
        <w:tab/>
        <w:t>Non-oriented</w:t>
      </w:r>
      <w:r>
        <w:rPr>
          <w:rFonts w:ascii="Calibri" w:eastAsia="Times New Roman" w:hAnsi="Calibri" w:cs="Calibri"/>
        </w:rPr>
        <w:tab/>
      </w:r>
      <w:r>
        <w:rPr>
          <w:rFonts w:ascii="Calibri" w:eastAsia="Times New Roman" w:hAnsi="Calibri" w:cs="Calibri"/>
        </w:rPr>
        <w:tab/>
      </w:r>
      <w:r>
        <w:rPr>
          <w:rFonts w:ascii="Calibri" w:eastAsia="Times New Roman" w:hAnsi="Calibri" w:cs="Calibri"/>
        </w:rPr>
        <w:tab/>
      </w:r>
      <w:r>
        <w:rPr>
          <w:rFonts w:ascii="Calibri" w:eastAsia="Times New Roman" w:hAnsi="Calibri" w:cs="Calibri"/>
        </w:rPr>
        <w:tab/>
      </w:r>
      <w:r>
        <w:rPr>
          <w:rFonts w:ascii="Calibri" w:eastAsia="Times New Roman" w:hAnsi="Calibri" w:cs="Calibri"/>
        </w:rPr>
        <w:tab/>
        <w:t>Oriented</w:t>
      </w:r>
    </w:p>
    <w:p w:rsidR="00580A9A" w:rsidRDefault="00580A9A" w:rsidP="00580A9A">
      <w:pPr>
        <w:spacing w:after="0" w:line="240" w:lineRule="auto"/>
        <w:rPr>
          <w:rFonts w:ascii="Calibri" w:eastAsia="Times New Roman" w:hAnsi="Calibri" w:cs="Calibri"/>
          <w:b/>
          <w:u w:val="single"/>
        </w:rPr>
      </w:pPr>
    </w:p>
    <w:p w:rsidR="00580A9A" w:rsidRDefault="00580A9A" w:rsidP="00580A9A">
      <w:pPr>
        <w:spacing w:after="0" w:line="240" w:lineRule="auto"/>
        <w:rPr>
          <w:rFonts w:ascii="Calibri" w:eastAsia="Times New Roman" w:hAnsi="Calibri" w:cs="Calibri"/>
          <w:b/>
          <w:u w:val="single"/>
        </w:rPr>
      </w:pPr>
    </w:p>
    <w:p w:rsidR="00580A9A" w:rsidRPr="003B423B" w:rsidRDefault="00580A9A" w:rsidP="00580A9A">
      <w:pPr>
        <w:spacing w:after="0" w:line="240" w:lineRule="auto"/>
        <w:rPr>
          <w:rFonts w:ascii="Calibri" w:eastAsia="Times New Roman" w:hAnsi="Calibri" w:cs="Calibri"/>
          <w:b/>
          <w:u w:val="single"/>
        </w:rPr>
      </w:pPr>
      <w:r>
        <w:rPr>
          <w:rFonts w:ascii="Calibri" w:eastAsia="Times New Roman" w:hAnsi="Calibri" w:cs="Calibri"/>
          <w:b/>
          <w:u w:val="single"/>
        </w:rPr>
        <w:t xml:space="preserve">Part II.  </w:t>
      </w:r>
      <w:r w:rsidRPr="003B423B">
        <w:rPr>
          <w:rFonts w:ascii="Calibri" w:eastAsia="Times New Roman" w:hAnsi="Calibri" w:cs="Calibri"/>
          <w:b/>
          <w:u w:val="single"/>
        </w:rPr>
        <w:t>Strategies for non-oriented attachment to a surface:</w:t>
      </w:r>
    </w:p>
    <w:p w:rsidR="00580A9A" w:rsidRPr="003B423B" w:rsidRDefault="00580A9A" w:rsidP="00580A9A">
      <w:pPr>
        <w:spacing w:after="0" w:line="240" w:lineRule="auto"/>
        <w:rPr>
          <w:rFonts w:ascii="Calibri" w:eastAsia="Times New Roman" w:hAnsi="Calibri" w:cs="Calibri"/>
          <w:b/>
        </w:rPr>
      </w:pPr>
    </w:p>
    <w:p w:rsidR="00580A9A" w:rsidRPr="008508CA" w:rsidRDefault="00580A9A" w:rsidP="00580A9A">
      <w:pPr>
        <w:pStyle w:val="ListParagraph"/>
        <w:numPr>
          <w:ilvl w:val="0"/>
          <w:numId w:val="12"/>
        </w:numPr>
        <w:spacing w:after="0" w:line="240" w:lineRule="auto"/>
        <w:rPr>
          <w:rFonts w:ascii="Calibri" w:eastAsia="Times New Roman" w:hAnsi="Calibri" w:cs="Calibri"/>
          <w:b/>
        </w:rPr>
      </w:pPr>
      <w:r w:rsidRPr="008508CA">
        <w:rPr>
          <w:rFonts w:ascii="Calibri" w:eastAsia="Times New Roman" w:hAnsi="Calibri" w:cs="Calibri"/>
        </w:rPr>
        <w:t xml:space="preserve"> </w:t>
      </w:r>
      <w:r w:rsidRPr="008508CA">
        <w:rPr>
          <w:rFonts w:ascii="Calibri" w:eastAsia="Times New Roman" w:hAnsi="Calibri" w:cs="Calibri"/>
          <w:b/>
        </w:rPr>
        <w:t>Non-covalent interactions</w:t>
      </w:r>
    </w:p>
    <w:p w:rsidR="00580A9A" w:rsidRDefault="00580A9A" w:rsidP="00580A9A">
      <w:pPr>
        <w:pStyle w:val="ListParagraph"/>
        <w:numPr>
          <w:ilvl w:val="1"/>
          <w:numId w:val="12"/>
        </w:numPr>
        <w:spacing w:after="0" w:line="240" w:lineRule="auto"/>
        <w:ind w:left="720"/>
        <w:rPr>
          <w:rFonts w:ascii="Calibri" w:eastAsia="Times New Roman" w:hAnsi="Calibri" w:cs="Calibri"/>
        </w:rPr>
      </w:pPr>
      <w:r w:rsidRPr="000F0B61">
        <w:rPr>
          <w:rFonts w:ascii="Calibri" w:eastAsia="Times New Roman" w:hAnsi="Calibri" w:cs="Calibri"/>
        </w:rPr>
        <w:t xml:space="preserve">There are two common methods, both of which add protein in buffer to the surface and incubate. Incubation </w:t>
      </w:r>
      <w:r>
        <w:rPr>
          <w:rFonts w:ascii="Calibri" w:eastAsia="Times New Roman" w:hAnsi="Calibri" w:cs="Calibri"/>
        </w:rPr>
        <w:t>can be either:</w:t>
      </w:r>
    </w:p>
    <w:p w:rsidR="00580A9A" w:rsidRDefault="00580A9A" w:rsidP="00580A9A">
      <w:pPr>
        <w:pStyle w:val="ListParagraph"/>
        <w:numPr>
          <w:ilvl w:val="1"/>
          <w:numId w:val="14"/>
        </w:numPr>
        <w:spacing w:after="0" w:line="240" w:lineRule="auto"/>
        <w:rPr>
          <w:rFonts w:ascii="Calibri" w:eastAsia="Times New Roman" w:hAnsi="Calibri" w:cs="Calibri"/>
        </w:rPr>
      </w:pPr>
      <w:r>
        <w:rPr>
          <w:rFonts w:ascii="Calibri" w:eastAsia="Times New Roman" w:hAnsi="Calibri" w:cs="Calibri"/>
        </w:rPr>
        <w:t>O</w:t>
      </w:r>
      <w:r w:rsidRPr="000F0B61">
        <w:rPr>
          <w:rFonts w:ascii="Calibri" w:eastAsia="Times New Roman" w:hAnsi="Calibri" w:cs="Calibri"/>
        </w:rPr>
        <w:t>vernight at 4 °C</w:t>
      </w:r>
      <w:r>
        <w:rPr>
          <w:rFonts w:ascii="Calibri" w:eastAsia="Times New Roman" w:hAnsi="Calibri" w:cs="Calibri"/>
        </w:rPr>
        <w:t>, or</w:t>
      </w:r>
    </w:p>
    <w:p w:rsidR="00580A9A" w:rsidRPr="000F0B61" w:rsidRDefault="00580A9A" w:rsidP="00580A9A">
      <w:pPr>
        <w:pStyle w:val="ListParagraph"/>
        <w:numPr>
          <w:ilvl w:val="1"/>
          <w:numId w:val="14"/>
        </w:numPr>
        <w:spacing w:after="0" w:line="240" w:lineRule="auto"/>
        <w:rPr>
          <w:rFonts w:ascii="Calibri" w:eastAsia="Times New Roman" w:hAnsi="Calibri" w:cs="Calibri"/>
        </w:rPr>
      </w:pPr>
      <w:r w:rsidRPr="000F0B61">
        <w:rPr>
          <w:rFonts w:ascii="Calibri" w:eastAsia="Times New Roman" w:hAnsi="Calibri" w:cs="Calibri"/>
        </w:rPr>
        <w:t>2 hours at 37 °C</w:t>
      </w:r>
    </w:p>
    <w:p w:rsidR="00580A9A" w:rsidRPr="000F0B61" w:rsidRDefault="00580A9A" w:rsidP="00580A9A">
      <w:pPr>
        <w:pStyle w:val="ListParagraph"/>
        <w:spacing w:after="0" w:line="240" w:lineRule="auto"/>
        <w:rPr>
          <w:rFonts w:ascii="Calibri" w:eastAsia="Times New Roman" w:hAnsi="Calibri" w:cs="Calibri"/>
        </w:rPr>
      </w:pPr>
      <w:r w:rsidRPr="000F0B61">
        <w:rPr>
          <w:rFonts w:ascii="Calibri" w:eastAsia="Times New Roman" w:hAnsi="Calibri" w:cs="Calibri"/>
        </w:rPr>
        <w:t>For many proteins, the efficiency of surface immobilization is similar by these two methods.  Why might incubating at higher temperature enable a shorter time?</w:t>
      </w:r>
    </w:p>
    <w:p w:rsidR="00580A9A" w:rsidRPr="000F0B61" w:rsidRDefault="00580A9A" w:rsidP="00580A9A">
      <w:pPr>
        <w:spacing w:after="0" w:line="240" w:lineRule="auto"/>
        <w:rPr>
          <w:rFonts w:ascii="Calibri" w:eastAsia="Times New Roman" w:hAnsi="Calibri" w:cs="Calibri"/>
        </w:rPr>
      </w:pPr>
    </w:p>
    <w:p w:rsidR="00580A9A" w:rsidRPr="000F0B61" w:rsidRDefault="00580A9A" w:rsidP="00580A9A">
      <w:pPr>
        <w:spacing w:after="0" w:line="240" w:lineRule="auto"/>
        <w:rPr>
          <w:rFonts w:ascii="Calibri" w:eastAsia="Times New Roman" w:hAnsi="Calibri" w:cs="Calibri"/>
        </w:rPr>
      </w:pPr>
    </w:p>
    <w:p w:rsidR="00580A9A" w:rsidRDefault="00580A9A" w:rsidP="00580A9A">
      <w:pPr>
        <w:spacing w:after="0" w:line="240" w:lineRule="auto"/>
        <w:rPr>
          <w:rFonts w:ascii="Calibri" w:eastAsia="Times New Roman" w:hAnsi="Calibri" w:cs="Calibri"/>
        </w:rPr>
      </w:pPr>
    </w:p>
    <w:p w:rsidR="00580A9A" w:rsidRDefault="00580A9A" w:rsidP="00580A9A">
      <w:pPr>
        <w:spacing w:after="0" w:line="240" w:lineRule="auto"/>
        <w:rPr>
          <w:rFonts w:ascii="Calibri" w:eastAsia="Times New Roman" w:hAnsi="Calibri" w:cs="Calibri"/>
        </w:rPr>
      </w:pPr>
    </w:p>
    <w:p w:rsidR="00580A9A" w:rsidRDefault="00580A9A" w:rsidP="00580A9A">
      <w:pPr>
        <w:spacing w:after="0" w:line="240" w:lineRule="auto"/>
        <w:rPr>
          <w:rFonts w:ascii="Calibri" w:eastAsia="Times New Roman" w:hAnsi="Calibri" w:cs="Calibri"/>
        </w:rPr>
      </w:pPr>
    </w:p>
    <w:p w:rsidR="00580A9A" w:rsidRDefault="00580A9A" w:rsidP="00580A9A">
      <w:pPr>
        <w:spacing w:after="0" w:line="240" w:lineRule="auto"/>
        <w:rPr>
          <w:rFonts w:ascii="Calibri" w:eastAsia="Times New Roman" w:hAnsi="Calibri" w:cs="Calibri"/>
        </w:rPr>
      </w:pPr>
    </w:p>
    <w:p w:rsidR="00580A9A" w:rsidRPr="000F0B61" w:rsidRDefault="00580A9A" w:rsidP="00580A9A">
      <w:pPr>
        <w:spacing w:after="0" w:line="240" w:lineRule="auto"/>
        <w:rPr>
          <w:rFonts w:ascii="Calibri" w:eastAsia="Times New Roman" w:hAnsi="Calibri" w:cs="Calibri"/>
        </w:rPr>
      </w:pPr>
    </w:p>
    <w:p w:rsidR="00580A9A" w:rsidRPr="000F0B61" w:rsidRDefault="00580A9A" w:rsidP="00580A9A">
      <w:pPr>
        <w:spacing w:after="0" w:line="240" w:lineRule="auto"/>
        <w:rPr>
          <w:rFonts w:ascii="Calibri" w:eastAsia="Times New Roman" w:hAnsi="Calibri" w:cs="Calibri"/>
        </w:rPr>
      </w:pPr>
    </w:p>
    <w:p w:rsidR="00580A9A" w:rsidRPr="000F0B61" w:rsidRDefault="00580A9A" w:rsidP="00580A9A">
      <w:pPr>
        <w:pStyle w:val="ListParagraph"/>
        <w:numPr>
          <w:ilvl w:val="1"/>
          <w:numId w:val="12"/>
        </w:numPr>
        <w:spacing w:after="0" w:line="240" w:lineRule="auto"/>
        <w:rPr>
          <w:rFonts w:ascii="Calibri" w:eastAsia="Times New Roman" w:hAnsi="Calibri" w:cs="Calibri"/>
        </w:rPr>
      </w:pPr>
      <w:r w:rsidRPr="000F0B61">
        <w:rPr>
          <w:rFonts w:ascii="Calibri" w:eastAsia="Times New Roman" w:hAnsi="Calibri" w:cs="Calibri"/>
        </w:rPr>
        <w:t xml:space="preserve">Although many proteins are efficiently adsorbed to a plastic plate at pH 7.4, some are better adsorbed at high pH (e.g. pH 9.6).  </w:t>
      </w:r>
      <w:r w:rsidRPr="005A3713">
        <w:rPr>
          <w:rFonts w:ascii="Calibri" w:eastAsia="Times New Roman" w:hAnsi="Calibri" w:cs="Calibri"/>
        </w:rPr>
        <w:t>Why?  Consider the biochemistry of a protein molecule.</w:t>
      </w:r>
    </w:p>
    <w:p w:rsidR="00580A9A" w:rsidRDefault="00580A9A" w:rsidP="00580A9A">
      <w:pPr>
        <w:spacing w:after="0" w:line="240" w:lineRule="auto"/>
        <w:rPr>
          <w:rFonts w:ascii="Calibri" w:eastAsia="Times New Roman" w:hAnsi="Calibri" w:cs="Calibri"/>
        </w:rPr>
      </w:pPr>
    </w:p>
    <w:p w:rsidR="00580A9A" w:rsidRDefault="00580A9A" w:rsidP="00580A9A">
      <w:pPr>
        <w:spacing w:after="0" w:line="240" w:lineRule="auto"/>
        <w:rPr>
          <w:rFonts w:ascii="Calibri" w:eastAsia="Times New Roman" w:hAnsi="Calibri" w:cs="Calibri"/>
        </w:rPr>
      </w:pPr>
    </w:p>
    <w:p w:rsidR="00580A9A" w:rsidRDefault="00580A9A" w:rsidP="00580A9A">
      <w:pPr>
        <w:spacing w:after="0" w:line="240" w:lineRule="auto"/>
        <w:rPr>
          <w:rFonts w:ascii="Calibri" w:eastAsia="Times New Roman" w:hAnsi="Calibri" w:cs="Calibri"/>
        </w:rPr>
      </w:pPr>
    </w:p>
    <w:p w:rsidR="00580A9A" w:rsidRDefault="00580A9A" w:rsidP="00580A9A">
      <w:pPr>
        <w:spacing w:after="0" w:line="240" w:lineRule="auto"/>
        <w:rPr>
          <w:rFonts w:ascii="Calibri" w:eastAsia="Times New Roman" w:hAnsi="Calibri" w:cs="Calibri"/>
        </w:rPr>
      </w:pPr>
    </w:p>
    <w:p w:rsidR="00580A9A" w:rsidRDefault="00580A9A" w:rsidP="00580A9A">
      <w:pPr>
        <w:spacing w:after="0" w:line="240" w:lineRule="auto"/>
        <w:rPr>
          <w:rFonts w:ascii="Calibri" w:eastAsia="Times New Roman" w:hAnsi="Calibri" w:cs="Calibri"/>
        </w:rPr>
      </w:pPr>
    </w:p>
    <w:p w:rsidR="00580A9A" w:rsidRDefault="00580A9A" w:rsidP="00580A9A">
      <w:pPr>
        <w:spacing w:after="0" w:line="240" w:lineRule="auto"/>
        <w:rPr>
          <w:rFonts w:ascii="Calibri" w:eastAsia="Times New Roman" w:hAnsi="Calibri" w:cs="Calibri"/>
        </w:rPr>
      </w:pPr>
    </w:p>
    <w:p w:rsidR="00580A9A" w:rsidRDefault="00580A9A" w:rsidP="00580A9A">
      <w:pPr>
        <w:spacing w:after="0" w:line="240" w:lineRule="auto"/>
        <w:rPr>
          <w:rFonts w:ascii="Calibri" w:eastAsia="Times New Roman" w:hAnsi="Calibri" w:cs="Calibri"/>
        </w:rPr>
      </w:pPr>
    </w:p>
    <w:p w:rsidR="00580A9A" w:rsidRPr="000F0B61" w:rsidRDefault="00580A9A" w:rsidP="00580A9A">
      <w:pPr>
        <w:spacing w:after="0" w:line="240" w:lineRule="auto"/>
        <w:rPr>
          <w:rFonts w:ascii="Calibri" w:eastAsia="Times New Roman" w:hAnsi="Calibri" w:cs="Calibri"/>
        </w:rPr>
      </w:pPr>
    </w:p>
    <w:p w:rsidR="00580A9A" w:rsidRDefault="00580A9A" w:rsidP="00580A9A">
      <w:pPr>
        <w:spacing w:after="0" w:line="240" w:lineRule="auto"/>
        <w:rPr>
          <w:rFonts w:ascii="Calibri" w:eastAsia="Times New Roman" w:hAnsi="Calibri" w:cs="Calibri"/>
        </w:rPr>
      </w:pPr>
    </w:p>
    <w:p w:rsidR="00580A9A" w:rsidRPr="003B423B" w:rsidRDefault="00580A9A" w:rsidP="00580A9A">
      <w:pPr>
        <w:pStyle w:val="ListParagraph"/>
        <w:numPr>
          <w:ilvl w:val="0"/>
          <w:numId w:val="12"/>
        </w:numPr>
        <w:spacing w:after="0" w:line="240" w:lineRule="auto"/>
        <w:rPr>
          <w:rFonts w:ascii="Calibri" w:eastAsia="Times New Roman" w:hAnsi="Calibri" w:cs="Calibri"/>
        </w:rPr>
      </w:pPr>
      <w:r w:rsidRPr="003B423B">
        <w:rPr>
          <w:rFonts w:ascii="Calibri" w:eastAsia="Times New Roman" w:hAnsi="Calibri" w:cs="Calibri"/>
          <w:b/>
        </w:rPr>
        <w:t xml:space="preserve">Covalent attachment </w:t>
      </w:r>
      <w:r>
        <w:rPr>
          <w:rFonts w:ascii="Calibri" w:eastAsia="Times New Roman" w:hAnsi="Calibri" w:cs="Calibri"/>
          <w:b/>
        </w:rPr>
        <w:t>and high-affinity interactions</w:t>
      </w:r>
    </w:p>
    <w:p w:rsidR="00580A9A" w:rsidRDefault="00580A9A" w:rsidP="00580A9A">
      <w:pPr>
        <w:spacing w:after="0" w:line="240" w:lineRule="auto"/>
        <w:rPr>
          <w:rFonts w:ascii="Calibri" w:eastAsia="Times New Roman" w:hAnsi="Calibri" w:cs="Calibri"/>
        </w:rPr>
      </w:pPr>
      <w:r>
        <w:rPr>
          <w:rFonts w:ascii="Calibri" w:eastAsia="Times New Roman" w:hAnsi="Calibri" w:cs="Calibri"/>
        </w:rPr>
        <w:t xml:space="preserve">Previously you learned about methods to covalently add a modification to a protein (bioconjugation chemistry).  </w:t>
      </w:r>
      <w:r w:rsidRPr="008A1D48">
        <w:rPr>
          <w:rFonts w:ascii="Calibri" w:eastAsia="Times New Roman" w:hAnsi="Calibri" w:cs="Calibri"/>
        </w:rPr>
        <w:t>Here we will consider an alternative</w:t>
      </w:r>
      <w:r>
        <w:rPr>
          <w:rFonts w:ascii="Calibri" w:eastAsia="Times New Roman" w:hAnsi="Calibri" w:cs="Calibri"/>
        </w:rPr>
        <w:t>, non-covalent but essentially irreversible</w:t>
      </w:r>
      <w:r w:rsidRPr="008A1D48">
        <w:rPr>
          <w:rFonts w:ascii="Calibri" w:eastAsia="Times New Roman" w:hAnsi="Calibri" w:cs="Calibri"/>
        </w:rPr>
        <w:t xml:space="preserve"> </w:t>
      </w:r>
      <w:r>
        <w:rPr>
          <w:rFonts w:ascii="Calibri" w:eastAsia="Times New Roman" w:hAnsi="Calibri" w:cs="Calibri"/>
        </w:rPr>
        <w:t>strategy for antibody immobilization:</w:t>
      </w:r>
      <w:r w:rsidRPr="008A1D48">
        <w:rPr>
          <w:rFonts w:ascii="Calibri" w:eastAsia="Times New Roman" w:hAnsi="Calibri" w:cs="Calibri"/>
        </w:rPr>
        <w:t xml:space="preserve"> the biotin-streptavidin linkage.</w:t>
      </w:r>
    </w:p>
    <w:p w:rsidR="00580A9A" w:rsidRPr="008A1D48" w:rsidRDefault="00580A9A" w:rsidP="00580A9A">
      <w:pPr>
        <w:spacing w:after="0" w:line="240" w:lineRule="auto"/>
        <w:rPr>
          <w:rFonts w:ascii="Calibri" w:eastAsia="Times New Roman" w:hAnsi="Calibri" w:cs="Calibri"/>
        </w:rPr>
      </w:pPr>
    </w:p>
    <w:p w:rsidR="00580A9A" w:rsidRDefault="00580A9A" w:rsidP="00580A9A">
      <w:pPr>
        <w:spacing w:after="0" w:line="240" w:lineRule="auto"/>
        <w:rPr>
          <w:rFonts w:eastAsia="Times New Roman" w:cstheme="minorHAnsi"/>
          <w:szCs w:val="24"/>
        </w:rPr>
      </w:pPr>
      <w:r>
        <w:rPr>
          <w:rFonts w:ascii="Calibri" w:eastAsia="Times New Roman" w:hAnsi="Calibri" w:cs="Calibri"/>
        </w:rPr>
        <w:t>A measure of affinity that you will learn about later in the course is K</w:t>
      </w:r>
      <w:r>
        <w:rPr>
          <w:rFonts w:ascii="Calibri" w:eastAsia="Times New Roman" w:hAnsi="Calibri" w:cs="Calibri"/>
          <w:vertAlign w:val="subscript"/>
        </w:rPr>
        <w:t>D</w:t>
      </w:r>
      <w:r>
        <w:rPr>
          <w:rFonts w:ascii="Calibri" w:eastAsia="Times New Roman" w:hAnsi="Calibri" w:cs="Calibri"/>
        </w:rPr>
        <w:t>, the dissociation constant. A smaller K</w:t>
      </w:r>
      <w:r>
        <w:rPr>
          <w:rFonts w:ascii="Calibri" w:eastAsia="Times New Roman" w:hAnsi="Calibri" w:cs="Calibri"/>
          <w:vertAlign w:val="subscript"/>
        </w:rPr>
        <w:t>D</w:t>
      </w:r>
      <w:r>
        <w:rPr>
          <w:rFonts w:ascii="Calibri" w:eastAsia="Times New Roman" w:hAnsi="Calibri" w:cs="Calibri"/>
        </w:rPr>
        <w:t xml:space="preserve"> indicates a higher affinity interaction. </w:t>
      </w:r>
      <w:r w:rsidRPr="00EE0FD5">
        <w:rPr>
          <w:rFonts w:eastAsia="Times New Roman" w:cstheme="minorHAnsi"/>
          <w:szCs w:val="24"/>
        </w:rPr>
        <w:t>Most antibodies have K</w:t>
      </w:r>
      <w:r w:rsidRPr="00EE0FD5">
        <w:rPr>
          <w:rFonts w:eastAsia="Times New Roman" w:cstheme="minorHAnsi"/>
          <w:szCs w:val="24"/>
          <w:vertAlign w:val="subscript"/>
        </w:rPr>
        <w:t>D</w:t>
      </w:r>
      <w:r w:rsidRPr="00EE0FD5">
        <w:rPr>
          <w:rFonts w:eastAsia="Times New Roman" w:cstheme="minorHAnsi"/>
          <w:szCs w:val="24"/>
        </w:rPr>
        <w:t> values in the low micromolar (10</w:t>
      </w:r>
      <w:r w:rsidRPr="00EE0FD5">
        <w:rPr>
          <w:rFonts w:eastAsia="Times New Roman" w:cstheme="minorHAnsi"/>
          <w:szCs w:val="24"/>
          <w:vertAlign w:val="superscript"/>
        </w:rPr>
        <w:t>-6</w:t>
      </w:r>
      <w:r>
        <w:rPr>
          <w:rFonts w:eastAsia="Times New Roman" w:cstheme="minorHAnsi"/>
          <w:szCs w:val="24"/>
          <w:vertAlign w:val="superscript"/>
        </w:rPr>
        <w:t xml:space="preserve"> </w:t>
      </w:r>
      <w:r>
        <w:rPr>
          <w:rFonts w:eastAsia="Times New Roman" w:cstheme="minorHAnsi"/>
          <w:szCs w:val="24"/>
        </w:rPr>
        <w:t>M</w:t>
      </w:r>
      <w:r w:rsidRPr="00EE0FD5">
        <w:rPr>
          <w:rFonts w:eastAsia="Times New Roman" w:cstheme="minorHAnsi"/>
          <w:szCs w:val="24"/>
        </w:rPr>
        <w:t>) to nanomolar (10</w:t>
      </w:r>
      <w:r w:rsidRPr="00EE0FD5">
        <w:rPr>
          <w:rFonts w:eastAsia="Times New Roman" w:cstheme="minorHAnsi"/>
          <w:szCs w:val="24"/>
          <w:vertAlign w:val="superscript"/>
        </w:rPr>
        <w:t>-7</w:t>
      </w:r>
      <w:r w:rsidRPr="00EE0FD5">
        <w:rPr>
          <w:rFonts w:eastAsia="Times New Roman" w:cstheme="minorHAnsi"/>
          <w:szCs w:val="24"/>
        </w:rPr>
        <w:t> </w:t>
      </w:r>
      <w:r>
        <w:rPr>
          <w:rFonts w:eastAsia="Times New Roman" w:cstheme="minorHAnsi"/>
          <w:szCs w:val="24"/>
        </w:rPr>
        <w:t xml:space="preserve">M </w:t>
      </w:r>
      <w:r w:rsidRPr="00EE0FD5">
        <w:rPr>
          <w:rFonts w:eastAsia="Times New Roman" w:cstheme="minorHAnsi"/>
          <w:szCs w:val="24"/>
        </w:rPr>
        <w:t>to 10</w:t>
      </w:r>
      <w:r w:rsidRPr="00EE0FD5">
        <w:rPr>
          <w:rFonts w:eastAsia="Times New Roman" w:cstheme="minorHAnsi"/>
          <w:szCs w:val="24"/>
          <w:vertAlign w:val="superscript"/>
        </w:rPr>
        <w:t>-9</w:t>
      </w:r>
      <w:r>
        <w:rPr>
          <w:rFonts w:eastAsia="Times New Roman" w:cstheme="minorHAnsi"/>
          <w:szCs w:val="24"/>
        </w:rPr>
        <w:t xml:space="preserve"> M</w:t>
      </w:r>
      <w:r w:rsidRPr="00EE0FD5">
        <w:rPr>
          <w:rFonts w:eastAsia="Times New Roman" w:cstheme="minorHAnsi"/>
          <w:szCs w:val="24"/>
        </w:rPr>
        <w:t xml:space="preserve">) range. </w:t>
      </w:r>
      <w:r>
        <w:rPr>
          <w:rFonts w:eastAsia="Times New Roman" w:cstheme="minorHAnsi"/>
          <w:szCs w:val="24"/>
        </w:rPr>
        <w:t>For antibodies, a micromolar K</w:t>
      </w:r>
      <w:r>
        <w:rPr>
          <w:rFonts w:eastAsia="Times New Roman" w:cstheme="minorHAnsi"/>
          <w:szCs w:val="24"/>
          <w:vertAlign w:val="subscript"/>
        </w:rPr>
        <w:t>D</w:t>
      </w:r>
      <w:r>
        <w:rPr>
          <w:rFonts w:eastAsia="Times New Roman" w:cstheme="minorHAnsi"/>
          <w:szCs w:val="24"/>
        </w:rPr>
        <w:t xml:space="preserve"> </w:t>
      </w:r>
      <w:r w:rsidRPr="00EE0FD5">
        <w:rPr>
          <w:rFonts w:eastAsia="Times New Roman" w:cstheme="minorHAnsi"/>
          <w:szCs w:val="24"/>
        </w:rPr>
        <w:t>(10</w:t>
      </w:r>
      <w:r w:rsidRPr="00EE0FD5">
        <w:rPr>
          <w:rFonts w:eastAsia="Times New Roman" w:cstheme="minorHAnsi"/>
          <w:szCs w:val="24"/>
          <w:vertAlign w:val="superscript"/>
        </w:rPr>
        <w:t>-6</w:t>
      </w:r>
      <w:r>
        <w:rPr>
          <w:rFonts w:eastAsia="Times New Roman" w:cstheme="minorHAnsi"/>
          <w:szCs w:val="24"/>
          <w:vertAlign w:val="superscript"/>
        </w:rPr>
        <w:t xml:space="preserve"> </w:t>
      </w:r>
      <w:r>
        <w:rPr>
          <w:rFonts w:eastAsia="Times New Roman" w:cstheme="minorHAnsi"/>
          <w:szCs w:val="24"/>
        </w:rPr>
        <w:t>M</w:t>
      </w:r>
      <w:r w:rsidRPr="00EE0FD5">
        <w:rPr>
          <w:rFonts w:eastAsia="Times New Roman" w:cstheme="minorHAnsi"/>
          <w:szCs w:val="24"/>
        </w:rPr>
        <w:t xml:space="preserve">) </w:t>
      </w:r>
      <w:r>
        <w:rPr>
          <w:rFonts w:eastAsia="Times New Roman" w:cstheme="minorHAnsi"/>
          <w:szCs w:val="24"/>
        </w:rPr>
        <w:t>is considered low affinity, low nanomolar K</w:t>
      </w:r>
      <w:r>
        <w:rPr>
          <w:rFonts w:eastAsia="Times New Roman" w:cstheme="minorHAnsi"/>
          <w:szCs w:val="24"/>
          <w:vertAlign w:val="subscript"/>
        </w:rPr>
        <w:t>D</w:t>
      </w:r>
      <w:r>
        <w:rPr>
          <w:rFonts w:eastAsia="Times New Roman" w:cstheme="minorHAnsi"/>
          <w:szCs w:val="24"/>
        </w:rPr>
        <w:t xml:space="preserve"> </w:t>
      </w:r>
      <w:r w:rsidRPr="00EE0FD5">
        <w:rPr>
          <w:rFonts w:eastAsia="Times New Roman" w:cstheme="minorHAnsi"/>
          <w:szCs w:val="24"/>
        </w:rPr>
        <w:t>(10</w:t>
      </w:r>
      <w:r w:rsidRPr="00EE0FD5">
        <w:rPr>
          <w:rFonts w:eastAsia="Times New Roman" w:cstheme="minorHAnsi"/>
          <w:szCs w:val="24"/>
          <w:vertAlign w:val="superscript"/>
        </w:rPr>
        <w:t>-9</w:t>
      </w:r>
      <w:r>
        <w:rPr>
          <w:rFonts w:eastAsia="Times New Roman" w:cstheme="minorHAnsi"/>
          <w:szCs w:val="24"/>
          <w:vertAlign w:val="superscript"/>
        </w:rPr>
        <w:t xml:space="preserve"> </w:t>
      </w:r>
      <w:r>
        <w:rPr>
          <w:rFonts w:eastAsia="Times New Roman" w:cstheme="minorHAnsi"/>
          <w:szCs w:val="24"/>
        </w:rPr>
        <w:t>M</w:t>
      </w:r>
      <w:r w:rsidRPr="00EE0FD5">
        <w:rPr>
          <w:rFonts w:eastAsia="Times New Roman" w:cstheme="minorHAnsi"/>
          <w:szCs w:val="24"/>
        </w:rPr>
        <w:t xml:space="preserve">) </w:t>
      </w:r>
      <w:r>
        <w:rPr>
          <w:rFonts w:eastAsia="Times New Roman" w:cstheme="minorHAnsi"/>
          <w:szCs w:val="24"/>
        </w:rPr>
        <w:t>is considered h</w:t>
      </w:r>
      <w:r w:rsidRPr="00EE0FD5">
        <w:rPr>
          <w:rFonts w:eastAsia="Times New Roman" w:cstheme="minorHAnsi"/>
          <w:szCs w:val="24"/>
        </w:rPr>
        <w:t>igh affinity</w:t>
      </w:r>
      <w:r>
        <w:rPr>
          <w:rFonts w:eastAsia="Times New Roman" w:cstheme="minorHAnsi"/>
          <w:szCs w:val="24"/>
        </w:rPr>
        <w:t>, and picomolar K</w:t>
      </w:r>
      <w:r>
        <w:rPr>
          <w:rFonts w:eastAsia="Times New Roman" w:cstheme="minorHAnsi"/>
          <w:szCs w:val="24"/>
          <w:vertAlign w:val="subscript"/>
        </w:rPr>
        <w:t>D</w:t>
      </w:r>
      <w:r>
        <w:rPr>
          <w:rFonts w:eastAsia="Times New Roman" w:cstheme="minorHAnsi"/>
          <w:szCs w:val="24"/>
        </w:rPr>
        <w:t xml:space="preserve"> </w:t>
      </w:r>
      <w:r w:rsidRPr="00EE0FD5">
        <w:rPr>
          <w:rFonts w:eastAsia="Times New Roman" w:cstheme="minorHAnsi"/>
          <w:szCs w:val="24"/>
        </w:rPr>
        <w:t>(10</w:t>
      </w:r>
      <w:r w:rsidRPr="00EE0FD5">
        <w:rPr>
          <w:rFonts w:eastAsia="Times New Roman" w:cstheme="minorHAnsi"/>
          <w:szCs w:val="24"/>
          <w:vertAlign w:val="superscript"/>
        </w:rPr>
        <w:t>-12</w:t>
      </w:r>
      <w:r>
        <w:rPr>
          <w:rFonts w:eastAsia="Times New Roman" w:cstheme="minorHAnsi"/>
          <w:szCs w:val="24"/>
        </w:rPr>
        <w:t xml:space="preserve"> M</w:t>
      </w:r>
      <w:r w:rsidRPr="00EE0FD5">
        <w:rPr>
          <w:rFonts w:eastAsia="Times New Roman" w:cstheme="minorHAnsi"/>
          <w:szCs w:val="24"/>
        </w:rPr>
        <w:t xml:space="preserve">) </w:t>
      </w:r>
      <w:r>
        <w:rPr>
          <w:rFonts w:eastAsia="Times New Roman" w:cstheme="minorHAnsi"/>
          <w:szCs w:val="24"/>
        </w:rPr>
        <w:t xml:space="preserve">is exceptionally high affinity. </w:t>
      </w:r>
      <w:r w:rsidRPr="00EE0FD5">
        <w:rPr>
          <w:rFonts w:eastAsia="Times New Roman" w:cstheme="minorHAnsi"/>
          <w:szCs w:val="24"/>
        </w:rPr>
        <w:t xml:space="preserve"> </w:t>
      </w:r>
    </w:p>
    <w:p w:rsidR="00580A9A" w:rsidRPr="005F4D25" w:rsidRDefault="00580A9A" w:rsidP="00580A9A">
      <w:pPr>
        <w:spacing w:after="0" w:line="240" w:lineRule="auto"/>
        <w:rPr>
          <w:rFonts w:ascii="Times New Roman" w:eastAsia="Times New Roman" w:hAnsi="Times New Roman" w:cs="Times New Roman"/>
          <w:sz w:val="24"/>
          <w:szCs w:val="24"/>
        </w:rPr>
      </w:pPr>
    </w:p>
    <w:p w:rsidR="00580A9A" w:rsidRDefault="00580A9A" w:rsidP="00580A9A">
      <w:pPr>
        <w:pStyle w:val="ListParagraph"/>
        <w:numPr>
          <w:ilvl w:val="0"/>
          <w:numId w:val="13"/>
        </w:numPr>
        <w:spacing w:after="0" w:line="240" w:lineRule="auto"/>
        <w:rPr>
          <w:rFonts w:ascii="Calibri" w:eastAsia="Times New Roman" w:hAnsi="Calibri" w:cs="Calibri"/>
        </w:rPr>
      </w:pPr>
      <w:r>
        <w:rPr>
          <w:rFonts w:ascii="Calibri" w:eastAsia="Times New Roman" w:hAnsi="Calibri" w:cs="Calibri"/>
        </w:rPr>
        <w:t>What does the K</w:t>
      </w:r>
      <w:r w:rsidRPr="00EE0FD5">
        <w:rPr>
          <w:rFonts w:ascii="Calibri" w:eastAsia="Times New Roman" w:hAnsi="Calibri" w:cs="Calibri"/>
          <w:vertAlign w:val="subscript"/>
        </w:rPr>
        <w:t>D</w:t>
      </w:r>
      <w:r>
        <w:rPr>
          <w:rFonts w:ascii="Calibri" w:eastAsia="Times New Roman" w:hAnsi="Calibri" w:cs="Calibri"/>
        </w:rPr>
        <w:t xml:space="preserve"> of ~1x10</w:t>
      </w:r>
      <w:r w:rsidRPr="00EE0FD5">
        <w:rPr>
          <w:rFonts w:ascii="Calibri" w:eastAsia="Times New Roman" w:hAnsi="Calibri" w:cs="Calibri"/>
          <w:vertAlign w:val="superscript"/>
        </w:rPr>
        <w:t>-14</w:t>
      </w:r>
      <w:r>
        <w:rPr>
          <w:rFonts w:ascii="Calibri" w:eastAsia="Times New Roman" w:hAnsi="Calibri" w:cs="Calibri"/>
        </w:rPr>
        <w:t xml:space="preserve"> M for biotin and streptavidin tell you about their interaction?</w:t>
      </w:r>
    </w:p>
    <w:p w:rsidR="00580A9A" w:rsidRPr="0069033D" w:rsidRDefault="00580A9A" w:rsidP="00580A9A">
      <w:pPr>
        <w:pStyle w:val="ListParagraph"/>
        <w:spacing w:after="0" w:line="240" w:lineRule="auto"/>
        <w:ind w:left="1440"/>
      </w:pPr>
    </w:p>
    <w:p w:rsidR="00580A9A" w:rsidRDefault="00580A9A" w:rsidP="00580A9A">
      <w:pPr>
        <w:pStyle w:val="ListParagraph"/>
        <w:spacing w:after="0" w:line="240" w:lineRule="auto"/>
        <w:ind w:left="1440"/>
        <w:rPr>
          <w:rFonts w:ascii="Calibri" w:eastAsia="Times New Roman" w:hAnsi="Calibri" w:cs="Calibri"/>
        </w:rPr>
      </w:pPr>
    </w:p>
    <w:p w:rsidR="00580A9A" w:rsidRDefault="00580A9A" w:rsidP="00580A9A">
      <w:pPr>
        <w:pStyle w:val="ListParagraph"/>
        <w:spacing w:after="0" w:line="240" w:lineRule="auto"/>
        <w:ind w:left="1440"/>
        <w:rPr>
          <w:rFonts w:ascii="Calibri" w:eastAsia="Times New Roman" w:hAnsi="Calibri" w:cs="Calibri"/>
        </w:rPr>
      </w:pPr>
    </w:p>
    <w:p w:rsidR="00580A9A" w:rsidRDefault="00580A9A" w:rsidP="00580A9A">
      <w:pPr>
        <w:pStyle w:val="ListParagraph"/>
        <w:spacing w:after="0" w:line="240" w:lineRule="auto"/>
        <w:ind w:left="1440"/>
        <w:rPr>
          <w:rFonts w:ascii="Calibri" w:eastAsia="Times New Roman" w:hAnsi="Calibri" w:cs="Calibri"/>
        </w:rPr>
      </w:pPr>
    </w:p>
    <w:p w:rsidR="00580A9A" w:rsidRDefault="00580A9A" w:rsidP="00580A9A">
      <w:pPr>
        <w:pStyle w:val="ListParagraph"/>
        <w:numPr>
          <w:ilvl w:val="0"/>
          <w:numId w:val="13"/>
        </w:numPr>
        <w:spacing w:after="0" w:line="240" w:lineRule="auto"/>
        <w:rPr>
          <w:rFonts w:ascii="Calibri" w:eastAsia="Times New Roman" w:hAnsi="Calibri" w:cs="Calibri"/>
        </w:rPr>
      </w:pPr>
      <w:r>
        <w:rPr>
          <w:rFonts w:ascii="Calibri" w:eastAsia="Times New Roman" w:hAnsi="Calibri" w:cs="Calibri"/>
        </w:rPr>
        <w:t>Imagine you conjugate biotin to an antibody via the NHS chemistry you learned previously (using a biotin-NHS reagent).  Do you have control over where the biotin molecules attach to the antibody?   Why or why not?</w:t>
      </w:r>
    </w:p>
    <w:p w:rsidR="00580A9A" w:rsidRDefault="00580A9A" w:rsidP="00580A9A">
      <w:pPr>
        <w:pStyle w:val="ListParagraph"/>
        <w:rPr>
          <w:rFonts w:ascii="Calibri" w:eastAsia="Times New Roman" w:hAnsi="Calibri" w:cs="Calibri"/>
        </w:rPr>
      </w:pPr>
    </w:p>
    <w:p w:rsidR="00580A9A" w:rsidRDefault="00580A9A" w:rsidP="00580A9A">
      <w:pPr>
        <w:pStyle w:val="ListParagraph"/>
        <w:rPr>
          <w:rFonts w:ascii="Calibri" w:eastAsia="Times New Roman" w:hAnsi="Calibri" w:cs="Calibri"/>
        </w:rPr>
      </w:pPr>
    </w:p>
    <w:p w:rsidR="00580A9A" w:rsidRDefault="00580A9A" w:rsidP="00580A9A">
      <w:pPr>
        <w:pStyle w:val="ListParagraph"/>
        <w:rPr>
          <w:rFonts w:ascii="Calibri" w:eastAsia="Times New Roman" w:hAnsi="Calibri" w:cs="Calibri"/>
        </w:rPr>
      </w:pPr>
    </w:p>
    <w:p w:rsidR="00580A9A" w:rsidRDefault="00580A9A" w:rsidP="00580A9A">
      <w:pPr>
        <w:pStyle w:val="ListParagraph"/>
        <w:rPr>
          <w:rFonts w:ascii="Calibri" w:eastAsia="Times New Roman" w:hAnsi="Calibri" w:cs="Calibri"/>
        </w:rPr>
      </w:pPr>
    </w:p>
    <w:p w:rsidR="00580A9A" w:rsidRDefault="00580A9A" w:rsidP="00580A9A">
      <w:pPr>
        <w:pStyle w:val="ListParagraph"/>
        <w:rPr>
          <w:rFonts w:ascii="Calibri" w:eastAsia="Times New Roman" w:hAnsi="Calibri" w:cs="Calibri"/>
        </w:rPr>
      </w:pPr>
    </w:p>
    <w:p w:rsidR="00580A9A" w:rsidRDefault="00580A9A" w:rsidP="00580A9A">
      <w:pPr>
        <w:pStyle w:val="ListParagraph"/>
        <w:rPr>
          <w:rFonts w:ascii="Calibri" w:eastAsia="Times New Roman" w:hAnsi="Calibri" w:cs="Calibri"/>
        </w:rPr>
      </w:pPr>
    </w:p>
    <w:p w:rsidR="00580A9A" w:rsidRPr="00EE0FD5" w:rsidRDefault="00580A9A" w:rsidP="00580A9A">
      <w:pPr>
        <w:pStyle w:val="ListParagraph"/>
        <w:rPr>
          <w:rFonts w:ascii="Calibri" w:eastAsia="Times New Roman" w:hAnsi="Calibri" w:cs="Calibri"/>
        </w:rPr>
      </w:pPr>
    </w:p>
    <w:p w:rsidR="00580A9A" w:rsidRDefault="00580A9A" w:rsidP="00580A9A">
      <w:pPr>
        <w:pStyle w:val="ListParagraph"/>
        <w:numPr>
          <w:ilvl w:val="0"/>
          <w:numId w:val="13"/>
        </w:numPr>
        <w:spacing w:after="0" w:line="240" w:lineRule="auto"/>
        <w:rPr>
          <w:rFonts w:ascii="Calibri" w:eastAsia="Times New Roman" w:hAnsi="Calibri" w:cs="Calibri"/>
        </w:rPr>
      </w:pPr>
      <w:r>
        <w:rPr>
          <w:rFonts w:ascii="Calibri" w:eastAsia="Times New Roman" w:hAnsi="Calibri" w:cs="Calibri"/>
        </w:rPr>
        <w:t>Consider how the interaction between avidin and an antibody that was biotinylated using a biotin-NHS reagent might be leveraged to help with antibody immobilization on a plate. Draw and label a diagram with the following components: antibody, plate, biotin, avidin.  Considering your response to (b), make clear in your schematic why the attachment is considered “non-oriented”.</w:t>
      </w:r>
    </w:p>
    <w:p w:rsidR="00580A9A" w:rsidRDefault="00580A9A" w:rsidP="00580A9A">
      <w:pPr>
        <w:spacing w:after="0" w:line="240" w:lineRule="auto"/>
        <w:rPr>
          <w:rFonts w:ascii="Calibri" w:eastAsia="Times New Roman" w:hAnsi="Calibri" w:cs="Calibri"/>
        </w:rPr>
      </w:pPr>
    </w:p>
    <w:p w:rsidR="00580A9A" w:rsidRDefault="00580A9A" w:rsidP="00580A9A">
      <w:pPr>
        <w:spacing w:after="0" w:line="240" w:lineRule="auto"/>
        <w:rPr>
          <w:rFonts w:ascii="Calibri" w:eastAsia="Times New Roman" w:hAnsi="Calibri" w:cs="Calibri"/>
        </w:rPr>
      </w:pPr>
    </w:p>
    <w:p w:rsidR="00580A9A" w:rsidRPr="00EE0FD5" w:rsidRDefault="00580A9A" w:rsidP="00580A9A">
      <w:pPr>
        <w:spacing w:after="0" w:line="240" w:lineRule="auto"/>
        <w:rPr>
          <w:rFonts w:ascii="Calibri" w:eastAsia="Times New Roman" w:hAnsi="Calibri" w:cs="Calibri"/>
        </w:rPr>
      </w:pPr>
    </w:p>
    <w:p w:rsidR="00580A9A" w:rsidRPr="00EE0FD5" w:rsidRDefault="00580A9A" w:rsidP="00580A9A">
      <w:pPr>
        <w:pStyle w:val="ListParagraph"/>
        <w:rPr>
          <w:rFonts w:ascii="Calibri" w:eastAsia="Times New Roman" w:hAnsi="Calibri" w:cs="Calibri"/>
        </w:rPr>
      </w:pPr>
    </w:p>
    <w:p w:rsidR="00580A9A" w:rsidRDefault="00580A9A" w:rsidP="00580A9A">
      <w:pPr>
        <w:spacing w:after="0" w:line="240" w:lineRule="auto"/>
        <w:rPr>
          <w:rFonts w:ascii="Calibri" w:eastAsia="Times New Roman" w:hAnsi="Calibri" w:cs="Calibri"/>
        </w:rPr>
      </w:pPr>
    </w:p>
    <w:p w:rsidR="00580A9A" w:rsidRDefault="00580A9A" w:rsidP="00580A9A">
      <w:pPr>
        <w:spacing w:after="0" w:line="240" w:lineRule="auto"/>
        <w:rPr>
          <w:rFonts w:ascii="Calibri" w:eastAsia="Times New Roman" w:hAnsi="Calibri" w:cs="Calibri"/>
        </w:rPr>
      </w:pPr>
    </w:p>
    <w:p w:rsidR="00580A9A" w:rsidRPr="00EE0FD5" w:rsidRDefault="00580A9A" w:rsidP="00580A9A">
      <w:pPr>
        <w:spacing w:after="0" w:line="240" w:lineRule="auto"/>
        <w:rPr>
          <w:rFonts w:ascii="Calibri" w:eastAsia="Times New Roman" w:hAnsi="Calibri" w:cs="Calibri"/>
        </w:rPr>
      </w:pPr>
    </w:p>
    <w:p w:rsidR="00580A9A" w:rsidRDefault="00580A9A" w:rsidP="00580A9A">
      <w:pPr>
        <w:pStyle w:val="ListParagraph"/>
        <w:numPr>
          <w:ilvl w:val="0"/>
          <w:numId w:val="12"/>
        </w:numPr>
        <w:spacing w:after="0"/>
        <w:rPr>
          <w:rFonts w:ascii="Calibri" w:eastAsia="Times New Roman" w:hAnsi="Calibri" w:cs="Calibri"/>
        </w:rPr>
      </w:pPr>
      <w:r w:rsidRPr="00DF48BD">
        <w:rPr>
          <w:rFonts w:ascii="Calibri" w:eastAsia="Times New Roman" w:hAnsi="Calibri" w:cs="Calibri"/>
        </w:rPr>
        <w:lastRenderedPageBreak/>
        <w:t>Brainstorm four mechanisms by which</w:t>
      </w:r>
      <w:r>
        <w:rPr>
          <w:rFonts w:ascii="Calibri" w:eastAsia="Times New Roman" w:hAnsi="Calibri" w:cs="Calibri"/>
        </w:rPr>
        <w:t xml:space="preserve"> non-oriented</w:t>
      </w:r>
      <w:r w:rsidRPr="00DF48BD">
        <w:rPr>
          <w:rFonts w:ascii="Calibri" w:eastAsia="Times New Roman" w:hAnsi="Calibri" w:cs="Calibri"/>
        </w:rPr>
        <w:t xml:space="preserve"> covalent binding to a surface might decrease binding activity of the antibody.</w:t>
      </w:r>
      <w:r>
        <w:rPr>
          <w:rFonts w:ascii="Calibri" w:eastAsia="Times New Roman" w:hAnsi="Calibri" w:cs="Calibri"/>
        </w:rPr>
        <w:t xml:space="preserve">  It may be useful to sketch the structure of the antibody bound to the surface.</w:t>
      </w:r>
    </w:p>
    <w:p w:rsidR="00580A9A" w:rsidRPr="00DF48BD" w:rsidRDefault="00580A9A" w:rsidP="00580A9A">
      <w:pPr>
        <w:pStyle w:val="ListParagraph"/>
        <w:spacing w:after="0"/>
        <w:ind w:left="360"/>
        <w:rPr>
          <w:rFonts w:ascii="Calibri" w:eastAsia="Times New Roman" w:hAnsi="Calibri" w:cs="Calibri"/>
        </w:rPr>
      </w:pPr>
    </w:p>
    <w:p w:rsidR="00580A9A" w:rsidRDefault="00580A9A" w:rsidP="00580A9A">
      <w:pPr>
        <w:pStyle w:val="ListParagraph"/>
        <w:spacing w:after="0" w:line="240" w:lineRule="auto"/>
        <w:ind w:left="1080"/>
        <w:rPr>
          <w:rFonts w:ascii="Calibri" w:eastAsia="Times New Roman" w:hAnsi="Calibri" w:cs="Calibri"/>
        </w:rPr>
      </w:pPr>
    </w:p>
    <w:p w:rsidR="00580A9A" w:rsidRDefault="00580A9A" w:rsidP="00580A9A">
      <w:pPr>
        <w:pStyle w:val="ListParagraph"/>
        <w:spacing w:after="0" w:line="240" w:lineRule="auto"/>
        <w:ind w:left="1080"/>
        <w:rPr>
          <w:rFonts w:ascii="Calibri" w:eastAsia="Times New Roman" w:hAnsi="Calibri" w:cs="Calibri"/>
        </w:rPr>
      </w:pPr>
    </w:p>
    <w:p w:rsidR="00580A9A" w:rsidRDefault="00580A9A" w:rsidP="00580A9A">
      <w:pPr>
        <w:pStyle w:val="ListParagraph"/>
        <w:spacing w:after="0" w:line="240" w:lineRule="auto"/>
        <w:ind w:left="1080"/>
        <w:rPr>
          <w:rFonts w:ascii="Calibri" w:eastAsia="Times New Roman" w:hAnsi="Calibri" w:cs="Calibri"/>
        </w:rPr>
      </w:pPr>
    </w:p>
    <w:p w:rsidR="00580A9A" w:rsidRDefault="00580A9A" w:rsidP="00580A9A">
      <w:pPr>
        <w:rPr>
          <w:rFonts w:ascii="Calibri" w:eastAsia="Times New Roman" w:hAnsi="Calibri" w:cs="Calibri"/>
          <w:b/>
        </w:rPr>
      </w:pPr>
      <w:r>
        <w:rPr>
          <w:rFonts w:ascii="Calibri" w:eastAsia="Times New Roman" w:hAnsi="Calibri" w:cs="Calibri"/>
          <w:b/>
        </w:rPr>
        <w:br w:type="page"/>
      </w:r>
    </w:p>
    <w:p w:rsidR="00580A9A" w:rsidRDefault="00580A9A" w:rsidP="00580A9A">
      <w:pPr>
        <w:spacing w:after="0" w:line="240" w:lineRule="auto"/>
        <w:rPr>
          <w:rFonts w:ascii="Calibri" w:eastAsia="Times New Roman" w:hAnsi="Calibri" w:cs="Calibri"/>
          <w:b/>
        </w:rPr>
      </w:pPr>
    </w:p>
    <w:p w:rsidR="00580A9A" w:rsidRDefault="00580A9A" w:rsidP="00580A9A">
      <w:pPr>
        <w:spacing w:after="0" w:line="240" w:lineRule="auto"/>
        <w:rPr>
          <w:rFonts w:ascii="Calibri" w:eastAsia="Times New Roman" w:hAnsi="Calibri" w:cs="Calibri"/>
          <w:b/>
        </w:rPr>
      </w:pPr>
    </w:p>
    <w:p w:rsidR="00580A9A" w:rsidRPr="000F0B61" w:rsidRDefault="00580A9A" w:rsidP="00580A9A">
      <w:pPr>
        <w:spacing w:after="0" w:line="240" w:lineRule="auto"/>
        <w:rPr>
          <w:rFonts w:ascii="Calibri" w:eastAsia="Times New Roman" w:hAnsi="Calibri" w:cs="Calibri"/>
          <w:b/>
        </w:rPr>
      </w:pPr>
      <w:r>
        <w:rPr>
          <w:rFonts w:ascii="Calibri" w:eastAsia="Times New Roman" w:hAnsi="Calibri" w:cs="Calibri"/>
          <w:b/>
        </w:rPr>
        <w:t>Part I</w:t>
      </w:r>
      <w:r w:rsidRPr="000F0B61">
        <w:rPr>
          <w:rFonts w:ascii="Calibri" w:eastAsia="Times New Roman" w:hAnsi="Calibri" w:cs="Calibri"/>
          <w:b/>
        </w:rPr>
        <w:t>II.  Strategies for oriented attachment:</w:t>
      </w:r>
    </w:p>
    <w:p w:rsidR="00580A9A" w:rsidRPr="000E0F1A" w:rsidRDefault="00580A9A" w:rsidP="00580A9A">
      <w:pPr>
        <w:pStyle w:val="ListParagraph"/>
        <w:numPr>
          <w:ilvl w:val="0"/>
          <w:numId w:val="5"/>
        </w:numPr>
        <w:spacing w:after="0" w:line="240" w:lineRule="auto"/>
        <w:rPr>
          <w:rFonts w:ascii="Calibri" w:eastAsia="Times New Roman" w:hAnsi="Calibri" w:cs="Calibri"/>
        </w:rPr>
      </w:pPr>
      <w:r w:rsidRPr="000E0F1A">
        <w:rPr>
          <w:rFonts w:ascii="Calibri" w:eastAsia="Times New Roman" w:hAnsi="Calibri" w:cs="Calibri"/>
        </w:rPr>
        <w:t xml:space="preserve">Researchers frequently take advantage of biological proteins and antibodies that bind the Fc region. Go to </w:t>
      </w:r>
      <w:proofErr w:type="spellStart"/>
      <w:r w:rsidRPr="000E0F1A">
        <w:rPr>
          <w:rFonts w:ascii="Calibri" w:eastAsia="Times New Roman" w:hAnsi="Calibri" w:cs="Calibri"/>
        </w:rPr>
        <w:t>ThermoFisher’s</w:t>
      </w:r>
      <w:proofErr w:type="spellEnd"/>
      <w:r w:rsidRPr="000E0F1A">
        <w:rPr>
          <w:rFonts w:ascii="Calibri" w:eastAsia="Times New Roman" w:hAnsi="Calibri" w:cs="Calibri"/>
        </w:rPr>
        <w:t xml:space="preserve"> “IgG-binding proteins” page and the links therein to learn more.  </w:t>
      </w:r>
    </w:p>
    <w:p w:rsidR="00580A9A" w:rsidRPr="000F0B61" w:rsidRDefault="00580A9A" w:rsidP="00580A9A">
      <w:pPr>
        <w:spacing w:after="0" w:line="240" w:lineRule="auto"/>
        <w:ind w:left="900"/>
        <w:rPr>
          <w:rFonts w:ascii="Calibri" w:eastAsia="Times New Roman" w:hAnsi="Calibri" w:cs="Calibri"/>
        </w:rPr>
      </w:pPr>
      <w:hyperlink r:id="rId9" w:history="1">
        <w:r w:rsidRPr="000F0B61">
          <w:rPr>
            <w:rFonts w:ascii="Calibri" w:eastAsia="Times New Roman" w:hAnsi="Calibri" w:cs="Calibri"/>
            <w:color w:val="0000FF"/>
            <w:u w:val="single"/>
          </w:rPr>
          <w:t>https://www.thermofisher.com/us/en/home/life-science/antibodies/antibodies-learning-center/antibodies-resource-library/antibody-methods/comparison-antibody-igg-binding-proteins.html</w:t>
        </w:r>
      </w:hyperlink>
    </w:p>
    <w:p w:rsidR="00580A9A" w:rsidRPr="000F0B61" w:rsidRDefault="00580A9A" w:rsidP="00580A9A">
      <w:pPr>
        <w:spacing w:after="0" w:line="240" w:lineRule="auto"/>
        <w:rPr>
          <w:rFonts w:ascii="Calibri" w:eastAsia="Times New Roman" w:hAnsi="Calibri" w:cs="Calibri"/>
        </w:rPr>
      </w:pPr>
    </w:p>
    <w:p w:rsidR="00580A9A" w:rsidRPr="000F0B61" w:rsidRDefault="00580A9A" w:rsidP="00580A9A">
      <w:pPr>
        <w:pStyle w:val="ListParagraph"/>
        <w:numPr>
          <w:ilvl w:val="0"/>
          <w:numId w:val="8"/>
        </w:numPr>
        <w:spacing w:after="0" w:line="240" w:lineRule="auto"/>
        <w:rPr>
          <w:rFonts w:ascii="Calibri" w:eastAsia="Times New Roman" w:hAnsi="Calibri" w:cs="Calibri"/>
        </w:rPr>
      </w:pPr>
      <w:r w:rsidRPr="000F0B61">
        <w:rPr>
          <w:rFonts w:ascii="Calibri" w:eastAsia="Times New Roman" w:hAnsi="Calibri" w:cs="Calibri"/>
        </w:rPr>
        <w:t>What is the origin of Proteins A and G?</w:t>
      </w:r>
    </w:p>
    <w:p w:rsidR="00580A9A" w:rsidRPr="000F0B61" w:rsidRDefault="00580A9A" w:rsidP="00580A9A">
      <w:pPr>
        <w:pStyle w:val="ListParagraph"/>
        <w:spacing w:after="0" w:line="240" w:lineRule="auto"/>
        <w:ind w:left="1080"/>
      </w:pPr>
    </w:p>
    <w:p w:rsidR="00580A9A" w:rsidRDefault="00580A9A" w:rsidP="00580A9A">
      <w:pPr>
        <w:pStyle w:val="ListParagraph"/>
        <w:numPr>
          <w:ilvl w:val="0"/>
          <w:numId w:val="8"/>
        </w:numPr>
        <w:spacing w:after="160" w:line="259" w:lineRule="auto"/>
      </w:pPr>
      <w:r w:rsidRPr="000F0B61">
        <w:t xml:space="preserve">Do </w:t>
      </w:r>
      <w:r>
        <w:t>all IgG</w:t>
      </w:r>
      <w:r w:rsidRPr="000F0B61">
        <w:t xml:space="preserve"> antibodies necessarily bind </w:t>
      </w:r>
      <w:r>
        <w:t xml:space="preserve">to </w:t>
      </w:r>
      <w:r w:rsidRPr="000F0B61">
        <w:t>protein A with the same affinity as</w:t>
      </w:r>
      <w:r>
        <w:t xml:space="preserve"> to</w:t>
      </w:r>
      <w:r w:rsidRPr="000F0B61">
        <w:t xml:space="preserve"> Protein G? </w:t>
      </w:r>
      <w:r>
        <w:t>Comment.</w:t>
      </w:r>
    </w:p>
    <w:p w:rsidR="00580A9A" w:rsidRPr="000F0B61" w:rsidRDefault="00580A9A" w:rsidP="00580A9A"/>
    <w:p w:rsidR="00580A9A" w:rsidRDefault="00580A9A" w:rsidP="00580A9A">
      <w:pPr>
        <w:pStyle w:val="ListParagraph"/>
        <w:numPr>
          <w:ilvl w:val="0"/>
          <w:numId w:val="8"/>
        </w:numPr>
        <w:spacing w:after="160" w:line="259" w:lineRule="auto"/>
      </w:pPr>
      <w:r>
        <w:t xml:space="preserve">Your </w:t>
      </w:r>
      <w:proofErr w:type="spellStart"/>
      <w:r>
        <w:t>labmates</w:t>
      </w:r>
      <w:proofErr w:type="spellEnd"/>
      <w:r>
        <w:t xml:space="preserve"> use Protein G successfully to capture their antibody of interest, which is a human IgG.  You are working with a rat IgG.  Is it safe to assume that your antibody will also be bound by protein G?  Support your prediction by looking up the binding strength in each case.</w:t>
      </w:r>
    </w:p>
    <w:p w:rsidR="00580A9A" w:rsidRDefault="00580A9A" w:rsidP="00580A9A"/>
    <w:p w:rsidR="00580A9A" w:rsidRDefault="00580A9A" w:rsidP="00580A9A"/>
    <w:p w:rsidR="00580A9A" w:rsidRPr="000F0B61" w:rsidRDefault="00580A9A" w:rsidP="00580A9A"/>
    <w:p w:rsidR="00580A9A" w:rsidRPr="00B43549" w:rsidRDefault="00580A9A" w:rsidP="00580A9A">
      <w:pPr>
        <w:pStyle w:val="ListParagraph"/>
        <w:numPr>
          <w:ilvl w:val="0"/>
          <w:numId w:val="5"/>
        </w:numPr>
        <w:spacing w:after="160" w:line="259" w:lineRule="auto"/>
        <w:rPr>
          <w:rFonts w:ascii="Times New Roman" w:eastAsia="Times New Roman" w:hAnsi="Times New Roman" w:cs="Times New Roman"/>
          <w:sz w:val="24"/>
          <w:szCs w:val="24"/>
        </w:rPr>
      </w:pPr>
      <w:proofErr w:type="spellStart"/>
      <w:r>
        <w:t>Biotinylation</w:t>
      </w:r>
      <w:proofErr w:type="spellEnd"/>
      <w:r>
        <w:t xml:space="preserve"> of an antibody can also be performed in a site-specific manner, by oxidizing the carbohydrates at the glycosylation sites to an aldehyde, then reacting with a nucleophilic hydrazide-biotin reagent. (more info at </w:t>
      </w:r>
      <w:hyperlink r:id="rId10" w:history="1">
        <w:r w:rsidRPr="00B43549">
          <w:rPr>
            <w:rStyle w:val="Hyperlink"/>
          </w:rPr>
          <w:t>Pierce Protein Methods handbook</w:t>
        </w:r>
      </w:hyperlink>
      <w:r>
        <w:t>).</w:t>
      </w:r>
    </w:p>
    <w:p w:rsidR="00580A9A" w:rsidRPr="00B43549" w:rsidRDefault="00580A9A" w:rsidP="00580A9A">
      <w:pPr>
        <w:ind w:left="900"/>
      </w:pPr>
      <w:r w:rsidRPr="00B43549">
        <w:t xml:space="preserve">Why would this strategy for </w:t>
      </w:r>
      <w:proofErr w:type="spellStart"/>
      <w:r w:rsidRPr="00B43549">
        <w:t>biotinylation</w:t>
      </w:r>
      <w:proofErr w:type="spellEnd"/>
      <w:r w:rsidRPr="00B43549">
        <w:t xml:space="preserve"> be more likely to produce oriented attachment then </w:t>
      </w:r>
      <w:proofErr w:type="spellStart"/>
      <w:r w:rsidRPr="00B43549">
        <w:t>biotinylation</w:t>
      </w:r>
      <w:proofErr w:type="spellEnd"/>
      <w:r w:rsidRPr="00B43549">
        <w:t xml:space="preserve"> by NHS chemistry?  It may be useful to draw a sketch of the two scenarios.</w:t>
      </w:r>
    </w:p>
    <w:p w:rsidR="00580A9A" w:rsidRDefault="00580A9A" w:rsidP="00580A9A">
      <w:pPr>
        <w:spacing w:after="0" w:line="240" w:lineRule="auto"/>
        <w:rPr>
          <w:b/>
          <w:bCs/>
          <w:sz w:val="20"/>
          <w:szCs w:val="20"/>
        </w:rPr>
      </w:pPr>
    </w:p>
    <w:p w:rsidR="00580A9A" w:rsidRDefault="00580A9A" w:rsidP="00580A9A">
      <w:pPr>
        <w:spacing w:after="0" w:line="240" w:lineRule="auto"/>
        <w:rPr>
          <w:b/>
          <w:bCs/>
          <w:sz w:val="20"/>
          <w:szCs w:val="20"/>
        </w:rPr>
      </w:pPr>
    </w:p>
    <w:p w:rsidR="00580A9A" w:rsidRDefault="00580A9A" w:rsidP="00580A9A">
      <w:pPr>
        <w:spacing w:after="0" w:line="240" w:lineRule="auto"/>
        <w:rPr>
          <w:b/>
          <w:bCs/>
          <w:sz w:val="20"/>
          <w:szCs w:val="20"/>
        </w:rPr>
      </w:pPr>
    </w:p>
    <w:p w:rsidR="00580A9A" w:rsidRDefault="00580A9A" w:rsidP="00580A9A">
      <w:pPr>
        <w:spacing w:after="0" w:line="240" w:lineRule="auto"/>
        <w:rPr>
          <w:b/>
          <w:bCs/>
          <w:sz w:val="20"/>
          <w:szCs w:val="20"/>
        </w:rPr>
      </w:pPr>
    </w:p>
    <w:p w:rsidR="00580A9A" w:rsidRDefault="00580A9A" w:rsidP="00580A9A">
      <w:pPr>
        <w:spacing w:after="0" w:line="240" w:lineRule="auto"/>
        <w:rPr>
          <w:b/>
          <w:bCs/>
          <w:sz w:val="20"/>
          <w:szCs w:val="20"/>
        </w:rPr>
      </w:pPr>
    </w:p>
    <w:p w:rsidR="00580A9A" w:rsidRDefault="00580A9A" w:rsidP="00580A9A">
      <w:pPr>
        <w:spacing w:after="0" w:line="240" w:lineRule="auto"/>
        <w:rPr>
          <w:b/>
          <w:bCs/>
          <w:sz w:val="20"/>
          <w:szCs w:val="20"/>
        </w:rPr>
      </w:pPr>
    </w:p>
    <w:p w:rsidR="00580A9A" w:rsidRDefault="00580A9A" w:rsidP="00580A9A">
      <w:pPr>
        <w:spacing w:after="0" w:line="240" w:lineRule="auto"/>
        <w:rPr>
          <w:b/>
          <w:bCs/>
          <w:sz w:val="20"/>
          <w:szCs w:val="20"/>
        </w:rPr>
      </w:pPr>
    </w:p>
    <w:p w:rsidR="00580A9A" w:rsidRDefault="00580A9A" w:rsidP="00580A9A">
      <w:pPr>
        <w:pStyle w:val="ListParagraph"/>
        <w:numPr>
          <w:ilvl w:val="0"/>
          <w:numId w:val="5"/>
        </w:numPr>
        <w:tabs>
          <w:tab w:val="clear" w:pos="900"/>
          <w:tab w:val="num" w:pos="270"/>
        </w:tabs>
        <w:spacing w:after="160" w:line="259" w:lineRule="auto"/>
        <w:ind w:left="0" w:firstLine="0"/>
      </w:pPr>
      <w:r>
        <w:rPr>
          <w:noProof/>
        </w:rPr>
        <w:lastRenderedPageBreak/>
        <w:drawing>
          <wp:anchor distT="0" distB="0" distL="114300" distR="114300" simplePos="0" relativeHeight="251660288" behindDoc="0" locked="0" layoutInCell="1" allowOverlap="1" wp14:anchorId="190F252C" wp14:editId="7511B62A">
            <wp:simplePos x="0" y="0"/>
            <wp:positionH relativeFrom="column">
              <wp:posOffset>2228850</wp:posOffset>
            </wp:positionH>
            <wp:positionV relativeFrom="paragraph">
              <wp:posOffset>6350</wp:posOffset>
            </wp:positionV>
            <wp:extent cx="4064000" cy="2976136"/>
            <wp:effectExtent l="0" t="0" r="0" b="0"/>
            <wp:wrapSquare wrapText="bothSides"/>
            <wp:docPr id="4" name="Picture 4" descr="https://ars.els-cdn.com/content/image/1-s2.0-S0003269702004426-g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ars.els-cdn.com/content/image/1-s2.0-S0003269702004426-gr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64000" cy="2976136"/>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Consider the following data, from Peluso et al (Anal </w:t>
      </w:r>
      <w:proofErr w:type="spellStart"/>
      <w:r>
        <w:t>Biochem</w:t>
      </w:r>
      <w:proofErr w:type="spellEnd"/>
      <w:r>
        <w:t xml:space="preserve">, 2003).  </w:t>
      </w:r>
      <w:r>
        <w:rPr>
          <w:rStyle w:val="captions"/>
        </w:rPr>
        <w:t xml:space="preserve">An antibody </w:t>
      </w:r>
      <w:r w:rsidRPr="00EE0FD5">
        <w:rPr>
          <w:rStyle w:val="captions"/>
          <w:i/>
        </w:rPr>
        <w:t>(</w:t>
      </w:r>
      <w:r>
        <w:rPr>
          <w:rStyle w:val="captions"/>
          <w:i/>
        </w:rPr>
        <w:t xml:space="preserve">left side of figure) </w:t>
      </w:r>
      <w:r>
        <w:rPr>
          <w:rStyle w:val="captions"/>
        </w:rPr>
        <w:t>or its Fab fragment (</w:t>
      </w:r>
      <w:r>
        <w:rPr>
          <w:rStyle w:val="captions"/>
          <w:i/>
        </w:rPr>
        <w:t>right)</w:t>
      </w:r>
      <w:r>
        <w:rPr>
          <w:rStyle w:val="captions"/>
        </w:rPr>
        <w:t xml:space="preserve"> was bound either randomly </w:t>
      </w:r>
      <w:r w:rsidRPr="00EE0FD5">
        <w:rPr>
          <w:rStyle w:val="captions"/>
          <w:i/>
        </w:rPr>
        <w:t xml:space="preserve">(top) </w:t>
      </w:r>
      <w:r>
        <w:rPr>
          <w:rStyle w:val="captions"/>
        </w:rPr>
        <w:t xml:space="preserve">or in an oriented manner </w:t>
      </w:r>
      <w:r w:rsidRPr="00EE0FD5">
        <w:rPr>
          <w:rStyle w:val="captions"/>
          <w:i/>
        </w:rPr>
        <w:t>(</w:t>
      </w:r>
      <w:r>
        <w:rPr>
          <w:rStyle w:val="captions"/>
          <w:i/>
        </w:rPr>
        <w:t xml:space="preserve">bottom) </w:t>
      </w:r>
      <w:r>
        <w:rPr>
          <w:rStyle w:val="captions"/>
        </w:rPr>
        <w:t xml:space="preserve">on the surface of an ELISA plate.  Then (figure below), a saturating concentration of the target antigen was incubated on the plate, to quantify the total analyte-binding capacity of the system (A).  The density of available binding sites (B) was quantified by surface plasmon resonance.   The ratio of analyte binding to binding site density was calculated and called specific activity (C). </w:t>
      </w:r>
    </w:p>
    <w:p w:rsidR="00580A9A" w:rsidRDefault="00580A9A" w:rsidP="00580A9A">
      <w:pPr>
        <w:rPr>
          <w:rStyle w:val="captions"/>
        </w:rPr>
      </w:pPr>
      <w:r>
        <w:rPr>
          <w:noProof/>
        </w:rPr>
        <w:drawing>
          <wp:anchor distT="0" distB="0" distL="114300" distR="114300" simplePos="0" relativeHeight="251659264" behindDoc="0" locked="0" layoutInCell="1" allowOverlap="1" wp14:anchorId="43865767" wp14:editId="13D3E4DC">
            <wp:simplePos x="0" y="0"/>
            <wp:positionH relativeFrom="column">
              <wp:posOffset>-95250</wp:posOffset>
            </wp:positionH>
            <wp:positionV relativeFrom="paragraph">
              <wp:posOffset>20955</wp:posOffset>
            </wp:positionV>
            <wp:extent cx="4540250" cy="3278505"/>
            <wp:effectExtent l="0" t="0" r="0" b="0"/>
            <wp:wrapSquare wrapText="bothSides"/>
            <wp:docPr id="3" name="Picture 3" descr="https://ars.els-cdn.com/content/image/1-s2.0-S0003269702004426-gr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rs.els-cdn.com/content/image/1-s2.0-S0003269702004426-gr4.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540250" cy="32785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F0DE9">
        <w:rPr>
          <w:rStyle w:val="captions"/>
          <w:b/>
        </w:rPr>
        <w:t>Caption</w:t>
      </w:r>
      <w:r>
        <w:rPr>
          <w:rStyle w:val="captions"/>
        </w:rPr>
        <w:t xml:space="preserve">: Effects of various linkage strategies on binding site densities and </w:t>
      </w:r>
      <w:r w:rsidRPr="008508CA">
        <w:rPr>
          <w:rStyle w:val="captions"/>
        </w:rPr>
        <w:t>binding activities</w:t>
      </w:r>
      <w:r>
        <w:rPr>
          <w:rStyle w:val="captions"/>
        </w:rPr>
        <w:t xml:space="preserve"> of three different monoclonal antibodies (Mab). Specific activity is defined as the density of bound analyte (A) divided by the binding site density (B). To saturate the active sites, 100 </w:t>
      </w:r>
      <w:proofErr w:type="spellStart"/>
      <w:r>
        <w:rPr>
          <w:rStyle w:val="captions"/>
        </w:rPr>
        <w:t>nM</w:t>
      </w:r>
      <w:proofErr w:type="spellEnd"/>
      <w:r>
        <w:rPr>
          <w:rStyle w:val="captions"/>
        </w:rPr>
        <w:t xml:space="preserve"> analyte concentrations were employed for Mab208 and Mab602 while 1 </w:t>
      </w:r>
      <w:proofErr w:type="spellStart"/>
      <w:r>
        <w:rPr>
          <w:rStyle w:val="captions"/>
        </w:rPr>
        <w:t>μM</w:t>
      </w:r>
      <w:proofErr w:type="spellEnd"/>
      <w:r>
        <w:rPr>
          <w:rStyle w:val="captions"/>
        </w:rPr>
        <w:t xml:space="preserve"> analyte concentration was used for Mab9647.</w:t>
      </w:r>
    </w:p>
    <w:p w:rsidR="00580A9A" w:rsidRDefault="00580A9A" w:rsidP="00580A9A">
      <w:pPr>
        <w:rPr>
          <w:rStyle w:val="captions"/>
        </w:rPr>
      </w:pPr>
      <w:r>
        <w:rPr>
          <w:rStyle w:val="captions"/>
        </w:rPr>
        <w:tab/>
      </w:r>
    </w:p>
    <w:p w:rsidR="00580A9A" w:rsidRDefault="00580A9A" w:rsidP="00580A9A">
      <w:pPr>
        <w:pStyle w:val="ListParagraph"/>
        <w:numPr>
          <w:ilvl w:val="1"/>
          <w:numId w:val="12"/>
        </w:numPr>
        <w:spacing w:after="160" w:line="259" w:lineRule="auto"/>
        <w:rPr>
          <w:rStyle w:val="captions"/>
        </w:rPr>
      </w:pPr>
      <w:r>
        <w:rPr>
          <w:rStyle w:val="captions"/>
        </w:rPr>
        <w:t>Examine this data and draw conclusions about the effect of oriented vs random binding on whole antibodies.</w:t>
      </w:r>
    </w:p>
    <w:p w:rsidR="00580A9A" w:rsidRDefault="00580A9A" w:rsidP="00580A9A">
      <w:pPr>
        <w:rPr>
          <w:rStyle w:val="captions"/>
        </w:rPr>
      </w:pPr>
    </w:p>
    <w:p w:rsidR="00580A9A" w:rsidRDefault="00580A9A" w:rsidP="00580A9A">
      <w:pPr>
        <w:rPr>
          <w:rStyle w:val="captions"/>
        </w:rPr>
      </w:pPr>
    </w:p>
    <w:p w:rsidR="00580A9A" w:rsidRDefault="00580A9A" w:rsidP="00580A9A">
      <w:pPr>
        <w:rPr>
          <w:rStyle w:val="captions"/>
        </w:rPr>
      </w:pPr>
    </w:p>
    <w:p w:rsidR="00580A9A" w:rsidRDefault="00580A9A" w:rsidP="00580A9A">
      <w:pPr>
        <w:rPr>
          <w:rStyle w:val="captions"/>
        </w:rPr>
      </w:pPr>
    </w:p>
    <w:p w:rsidR="00580A9A" w:rsidRDefault="00580A9A" w:rsidP="00580A9A">
      <w:pPr>
        <w:rPr>
          <w:rStyle w:val="captions"/>
        </w:rPr>
      </w:pPr>
    </w:p>
    <w:p w:rsidR="00580A9A" w:rsidRDefault="00580A9A" w:rsidP="00580A9A">
      <w:pPr>
        <w:pStyle w:val="ListParagraph"/>
        <w:numPr>
          <w:ilvl w:val="1"/>
          <w:numId w:val="12"/>
        </w:numPr>
        <w:spacing w:after="160" w:line="259" w:lineRule="auto"/>
        <w:rPr>
          <w:rStyle w:val="captions"/>
        </w:rPr>
      </w:pPr>
      <w:r>
        <w:rPr>
          <w:rStyle w:val="captions"/>
        </w:rPr>
        <w:t>Examine this data and draw conclusions about the effect of oriented vs random binding on Fab fragments.</w:t>
      </w:r>
    </w:p>
    <w:p w:rsidR="00580A9A" w:rsidRDefault="00580A9A" w:rsidP="00580A9A">
      <w:pPr>
        <w:pStyle w:val="ListParagraph"/>
        <w:ind w:left="1440"/>
        <w:rPr>
          <w:rStyle w:val="captions"/>
        </w:rPr>
      </w:pPr>
    </w:p>
    <w:p w:rsidR="00580A9A" w:rsidRDefault="00580A9A" w:rsidP="00580A9A">
      <w:pPr>
        <w:pStyle w:val="ListParagraph"/>
        <w:ind w:left="1440"/>
        <w:rPr>
          <w:rStyle w:val="captions"/>
        </w:rPr>
      </w:pPr>
    </w:p>
    <w:p w:rsidR="00580A9A" w:rsidRDefault="00580A9A" w:rsidP="00580A9A">
      <w:pPr>
        <w:pStyle w:val="ListParagraph"/>
        <w:ind w:left="1440"/>
        <w:rPr>
          <w:rStyle w:val="captions"/>
        </w:rPr>
      </w:pPr>
    </w:p>
    <w:p w:rsidR="00580A9A" w:rsidRDefault="00580A9A" w:rsidP="00580A9A">
      <w:pPr>
        <w:pStyle w:val="ListParagraph"/>
        <w:ind w:left="1440"/>
        <w:rPr>
          <w:rStyle w:val="captions"/>
        </w:rPr>
      </w:pPr>
    </w:p>
    <w:p w:rsidR="00580A9A" w:rsidRDefault="00580A9A" w:rsidP="00580A9A">
      <w:pPr>
        <w:pStyle w:val="ListParagraph"/>
        <w:ind w:left="1440"/>
        <w:rPr>
          <w:rStyle w:val="captions"/>
        </w:rPr>
      </w:pPr>
    </w:p>
    <w:p w:rsidR="00580A9A" w:rsidRDefault="00580A9A" w:rsidP="00580A9A">
      <w:pPr>
        <w:pStyle w:val="ListParagraph"/>
        <w:ind w:left="1440"/>
        <w:rPr>
          <w:rStyle w:val="captions"/>
        </w:rPr>
      </w:pPr>
    </w:p>
    <w:p w:rsidR="00580A9A" w:rsidRDefault="00580A9A" w:rsidP="00580A9A">
      <w:pPr>
        <w:pStyle w:val="ListParagraph"/>
        <w:ind w:left="1440"/>
        <w:rPr>
          <w:rStyle w:val="captions"/>
        </w:rPr>
      </w:pPr>
    </w:p>
    <w:p w:rsidR="00580A9A" w:rsidRDefault="00580A9A" w:rsidP="00580A9A">
      <w:pPr>
        <w:pStyle w:val="ListParagraph"/>
        <w:ind w:left="1440"/>
        <w:rPr>
          <w:rStyle w:val="captions"/>
        </w:rPr>
      </w:pPr>
    </w:p>
    <w:p w:rsidR="00580A9A" w:rsidRDefault="00580A9A" w:rsidP="00580A9A">
      <w:pPr>
        <w:pStyle w:val="ListParagraph"/>
        <w:ind w:left="1440"/>
        <w:rPr>
          <w:rStyle w:val="captions"/>
        </w:rPr>
      </w:pPr>
    </w:p>
    <w:p w:rsidR="00580A9A" w:rsidRDefault="00580A9A" w:rsidP="00580A9A">
      <w:pPr>
        <w:pStyle w:val="ListParagraph"/>
        <w:ind w:left="1440"/>
        <w:rPr>
          <w:rStyle w:val="captions"/>
        </w:rPr>
      </w:pPr>
    </w:p>
    <w:p w:rsidR="00580A9A" w:rsidRDefault="00580A9A" w:rsidP="00580A9A">
      <w:pPr>
        <w:pStyle w:val="ListParagraph"/>
        <w:ind w:left="1440"/>
        <w:rPr>
          <w:rStyle w:val="captions"/>
        </w:rPr>
      </w:pPr>
    </w:p>
    <w:p w:rsidR="00580A9A" w:rsidRDefault="00580A9A" w:rsidP="00580A9A">
      <w:pPr>
        <w:pStyle w:val="ListParagraph"/>
        <w:ind w:left="1440"/>
        <w:rPr>
          <w:rStyle w:val="captions"/>
        </w:rPr>
      </w:pPr>
    </w:p>
    <w:p w:rsidR="00580A9A" w:rsidRDefault="00580A9A" w:rsidP="00580A9A">
      <w:pPr>
        <w:pStyle w:val="ListParagraph"/>
        <w:numPr>
          <w:ilvl w:val="1"/>
          <w:numId w:val="12"/>
        </w:numPr>
        <w:spacing w:after="160" w:line="259" w:lineRule="auto"/>
      </w:pPr>
      <w:r>
        <w:rPr>
          <w:rStyle w:val="captions"/>
        </w:rPr>
        <w:t>Now compare the data for whole antibodies versus Fab fragments.  Why might orientation have a larger impact on binding for Fab fragments than for whole antibodies?</w:t>
      </w:r>
    </w:p>
    <w:p w:rsidR="00FF0101" w:rsidRDefault="00FF0101" w:rsidP="00EB0604"/>
    <w:p w:rsidR="00580A9A" w:rsidRDefault="00580A9A" w:rsidP="00FF0101">
      <w:pPr>
        <w:rPr>
          <w:b/>
        </w:rPr>
      </w:pPr>
    </w:p>
    <w:p w:rsidR="00580A9A" w:rsidRDefault="00580A9A" w:rsidP="00FF0101">
      <w:pPr>
        <w:rPr>
          <w:b/>
        </w:rPr>
      </w:pPr>
    </w:p>
    <w:p w:rsidR="00580A9A" w:rsidRDefault="00580A9A" w:rsidP="00FF0101">
      <w:pPr>
        <w:rPr>
          <w:b/>
        </w:rPr>
      </w:pPr>
    </w:p>
    <w:p w:rsidR="00580A9A" w:rsidRDefault="00580A9A" w:rsidP="00FF0101">
      <w:pPr>
        <w:rPr>
          <w:b/>
        </w:rPr>
      </w:pPr>
    </w:p>
    <w:p w:rsidR="00580A9A" w:rsidRDefault="00580A9A" w:rsidP="00FF0101">
      <w:pPr>
        <w:rPr>
          <w:b/>
        </w:rPr>
      </w:pPr>
    </w:p>
    <w:p w:rsidR="00580A9A" w:rsidRDefault="00580A9A" w:rsidP="00FF0101">
      <w:pPr>
        <w:rPr>
          <w:b/>
        </w:rPr>
      </w:pPr>
    </w:p>
    <w:p w:rsidR="00580A9A" w:rsidRDefault="00580A9A" w:rsidP="00FF0101">
      <w:pPr>
        <w:rPr>
          <w:b/>
        </w:rPr>
      </w:pPr>
    </w:p>
    <w:p w:rsidR="00580A9A" w:rsidRDefault="00580A9A" w:rsidP="00FF0101">
      <w:pPr>
        <w:rPr>
          <w:b/>
        </w:rPr>
      </w:pPr>
    </w:p>
    <w:p w:rsidR="00580A9A" w:rsidRDefault="00580A9A" w:rsidP="00FF0101">
      <w:pPr>
        <w:rPr>
          <w:b/>
        </w:rPr>
      </w:pPr>
    </w:p>
    <w:p w:rsidR="00580A9A" w:rsidRDefault="00580A9A" w:rsidP="00FF0101">
      <w:pPr>
        <w:rPr>
          <w:b/>
        </w:rPr>
      </w:pPr>
    </w:p>
    <w:p w:rsidR="00580A9A" w:rsidRDefault="00580A9A" w:rsidP="00FF0101">
      <w:pPr>
        <w:rPr>
          <w:b/>
        </w:rPr>
      </w:pPr>
    </w:p>
    <w:p w:rsidR="00FF0101" w:rsidRPr="005402F6" w:rsidRDefault="00FF0101" w:rsidP="00FF0101">
      <w:pPr>
        <w:rPr>
          <w:b/>
        </w:rPr>
      </w:pPr>
      <w:r>
        <w:rPr>
          <w:b/>
        </w:rPr>
        <w:lastRenderedPageBreak/>
        <w:t>Immunoassay</w:t>
      </w:r>
      <w:r w:rsidRPr="005402F6">
        <w:rPr>
          <w:b/>
        </w:rPr>
        <w:t xml:space="preserve"> readouts – In-class </w:t>
      </w:r>
      <w:r>
        <w:rPr>
          <w:b/>
        </w:rPr>
        <w:t xml:space="preserve">activity </w:t>
      </w:r>
      <w:r>
        <w:rPr>
          <w:b/>
        </w:rPr>
        <w:tab/>
      </w:r>
      <w:r>
        <w:rPr>
          <w:b/>
        </w:rPr>
        <w:tab/>
      </w:r>
      <w:r>
        <w:rPr>
          <w:b/>
        </w:rPr>
        <w:tab/>
      </w:r>
      <w:r>
        <w:rPr>
          <w:b/>
        </w:rPr>
        <w:tab/>
      </w:r>
      <w:r>
        <w:rPr>
          <w:b/>
        </w:rPr>
        <w:tab/>
        <w:t xml:space="preserve">   </w:t>
      </w:r>
      <w:r>
        <w:rPr>
          <w:b/>
        </w:rPr>
        <w:tab/>
        <w:t>Chem 5720</w:t>
      </w:r>
    </w:p>
    <w:p w:rsidR="00FF0101" w:rsidRDefault="00FF0101" w:rsidP="00FF0101">
      <w:r>
        <w:t>Learning goals.  Students will be able to:</w:t>
      </w:r>
    </w:p>
    <w:p w:rsidR="00FF0101" w:rsidRDefault="00FF0101" w:rsidP="00FF0101">
      <w:pPr>
        <w:pStyle w:val="ListParagraph"/>
        <w:numPr>
          <w:ilvl w:val="0"/>
          <w:numId w:val="11"/>
        </w:numPr>
      </w:pPr>
      <w:r>
        <w:t>Recognize the structures and properties of common colorimetric ELISA substrates.</w:t>
      </w:r>
    </w:p>
    <w:p w:rsidR="00FF0101" w:rsidRDefault="00FF0101" w:rsidP="00FF0101">
      <w:pPr>
        <w:pStyle w:val="ListParagraph"/>
        <w:numPr>
          <w:ilvl w:val="0"/>
          <w:numId w:val="11"/>
        </w:numPr>
      </w:pPr>
      <w:r>
        <w:t>Find product information online on vendor websites.</w:t>
      </w:r>
    </w:p>
    <w:p w:rsidR="00FF0101" w:rsidRDefault="00FF0101" w:rsidP="00FF0101">
      <w:pPr>
        <w:pStyle w:val="ListParagraph"/>
        <w:numPr>
          <w:ilvl w:val="0"/>
          <w:numId w:val="11"/>
        </w:numPr>
      </w:pPr>
      <w:r>
        <w:t>Describe alternative methods of detection for immunoassays and discuss advantages and disadvantages of each method.</w:t>
      </w:r>
    </w:p>
    <w:p w:rsidR="00FF0101" w:rsidRDefault="00FF0101" w:rsidP="00FF0101"/>
    <w:p w:rsidR="00FF0101" w:rsidRDefault="00FF0101" w:rsidP="00FF0101">
      <w:r>
        <w:t xml:space="preserve">After carefully choosing antibodies to detect an analyte, how do you best “read out” the assay? </w:t>
      </w:r>
    </w:p>
    <w:p w:rsidR="00FF0101" w:rsidRPr="00CA1156" w:rsidRDefault="00FF0101" w:rsidP="00FF0101">
      <w:pPr>
        <w:pStyle w:val="ListParagraph"/>
        <w:numPr>
          <w:ilvl w:val="0"/>
          <w:numId w:val="10"/>
        </w:numPr>
        <w:rPr>
          <w:b/>
        </w:rPr>
      </w:pPr>
      <w:r w:rsidRPr="00CA1156">
        <w:rPr>
          <w:b/>
        </w:rPr>
        <w:t>ELISA – enzymatic readout</w:t>
      </w:r>
    </w:p>
    <w:p w:rsidR="00FF0101" w:rsidRDefault="00FF0101" w:rsidP="00FF0101">
      <w:pPr>
        <w:pStyle w:val="ListParagraph"/>
      </w:pPr>
      <w:r>
        <w:t xml:space="preserve">Search online to find the following information for four common colorimetric ELISA substrates.  Good resources may include vendor websites, chemistry sites, or published reviews or papers. </w:t>
      </w:r>
    </w:p>
    <w:tbl>
      <w:tblPr>
        <w:tblW w:w="9715" w:type="dxa"/>
        <w:tblInd w:w="93" w:type="dxa"/>
        <w:tblLook w:val="04A0" w:firstRow="1" w:lastRow="0" w:firstColumn="1" w:lastColumn="0" w:noHBand="0" w:noVBand="1"/>
      </w:tblPr>
      <w:tblGrid>
        <w:gridCol w:w="960"/>
        <w:gridCol w:w="1755"/>
        <w:gridCol w:w="1890"/>
        <w:gridCol w:w="1170"/>
        <w:gridCol w:w="1420"/>
        <w:gridCol w:w="1100"/>
        <w:gridCol w:w="1420"/>
      </w:tblGrid>
      <w:tr w:rsidR="00FF0101" w:rsidRPr="00DF4341" w:rsidTr="00D24453">
        <w:trPr>
          <w:trHeight w:val="880"/>
        </w:trPr>
        <w:tc>
          <w:tcPr>
            <w:tcW w:w="960" w:type="dxa"/>
            <w:tcBorders>
              <w:top w:val="single" w:sz="8" w:space="0" w:color="auto"/>
              <w:left w:val="single" w:sz="8" w:space="0" w:color="auto"/>
              <w:bottom w:val="single" w:sz="8" w:space="0" w:color="auto"/>
              <w:right w:val="nil"/>
            </w:tcBorders>
            <w:shd w:val="clear" w:color="auto" w:fill="auto"/>
            <w:vAlign w:val="bottom"/>
            <w:hideMark/>
          </w:tcPr>
          <w:p w:rsidR="00FF0101" w:rsidRPr="00DF4341" w:rsidRDefault="00FF0101" w:rsidP="00D24453">
            <w:pPr>
              <w:spacing w:after="0" w:line="240" w:lineRule="auto"/>
              <w:rPr>
                <w:rFonts w:ascii="Calibri" w:eastAsia="Times New Roman" w:hAnsi="Calibri" w:cs="Calibri"/>
                <w:b/>
                <w:bCs/>
                <w:color w:val="000000"/>
              </w:rPr>
            </w:pPr>
            <w:r w:rsidRPr="00DF4341">
              <w:rPr>
                <w:rFonts w:ascii="Calibri" w:eastAsia="Times New Roman" w:hAnsi="Calibri" w:cs="Calibri"/>
                <w:b/>
                <w:bCs/>
                <w:color w:val="000000"/>
              </w:rPr>
              <w:t> </w:t>
            </w:r>
          </w:p>
        </w:tc>
        <w:tc>
          <w:tcPr>
            <w:tcW w:w="3645" w:type="dxa"/>
            <w:gridSpan w:val="2"/>
            <w:tcBorders>
              <w:top w:val="single" w:sz="8" w:space="0" w:color="auto"/>
              <w:left w:val="nil"/>
              <w:bottom w:val="single" w:sz="8" w:space="0" w:color="auto"/>
              <w:right w:val="nil"/>
            </w:tcBorders>
            <w:shd w:val="clear" w:color="auto" w:fill="auto"/>
            <w:vAlign w:val="bottom"/>
            <w:hideMark/>
          </w:tcPr>
          <w:p w:rsidR="00FF0101" w:rsidRDefault="00FF0101" w:rsidP="00D24453">
            <w:pPr>
              <w:spacing w:after="0" w:line="240" w:lineRule="auto"/>
              <w:jc w:val="center"/>
              <w:rPr>
                <w:rFonts w:ascii="Calibri" w:eastAsia="Times New Roman" w:hAnsi="Calibri" w:cs="Calibri"/>
                <w:b/>
                <w:bCs/>
                <w:color w:val="000000"/>
              </w:rPr>
            </w:pPr>
            <w:r w:rsidRPr="00DF4341">
              <w:rPr>
                <w:rFonts w:ascii="Calibri" w:eastAsia="Times New Roman" w:hAnsi="Calibri" w:cs="Calibri"/>
                <w:b/>
                <w:bCs/>
                <w:color w:val="000000"/>
              </w:rPr>
              <w:t>Full chemical name</w:t>
            </w:r>
          </w:p>
          <w:p w:rsidR="00FF0101" w:rsidRDefault="00FF0101" w:rsidP="00D24453">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and</w:t>
            </w:r>
          </w:p>
          <w:p w:rsidR="00FF0101" w:rsidRPr="00DF4341" w:rsidRDefault="00FF0101" w:rsidP="00D24453">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S</w:t>
            </w:r>
            <w:r w:rsidRPr="00DF4341">
              <w:rPr>
                <w:rFonts w:ascii="Calibri" w:eastAsia="Times New Roman" w:hAnsi="Calibri" w:cs="Calibri"/>
                <w:b/>
                <w:bCs/>
                <w:color w:val="000000"/>
              </w:rPr>
              <w:t>tructure</w:t>
            </w:r>
          </w:p>
        </w:tc>
        <w:tc>
          <w:tcPr>
            <w:tcW w:w="1170" w:type="dxa"/>
            <w:tcBorders>
              <w:top w:val="single" w:sz="8" w:space="0" w:color="auto"/>
              <w:left w:val="nil"/>
              <w:bottom w:val="single" w:sz="8" w:space="0" w:color="auto"/>
              <w:right w:val="nil"/>
            </w:tcBorders>
            <w:shd w:val="clear" w:color="auto" w:fill="auto"/>
            <w:vAlign w:val="bottom"/>
            <w:hideMark/>
          </w:tcPr>
          <w:p w:rsidR="00FF0101" w:rsidRPr="00DF4341" w:rsidRDefault="00FF0101" w:rsidP="00D24453">
            <w:pPr>
              <w:spacing w:after="0" w:line="240" w:lineRule="auto"/>
              <w:rPr>
                <w:rFonts w:ascii="Calibri" w:eastAsia="Times New Roman" w:hAnsi="Calibri" w:cs="Calibri"/>
                <w:b/>
                <w:bCs/>
                <w:color w:val="000000"/>
              </w:rPr>
            </w:pPr>
            <w:r w:rsidRPr="00DF4341">
              <w:rPr>
                <w:rFonts w:ascii="Calibri" w:eastAsia="Times New Roman" w:hAnsi="Calibri" w:cs="Calibri"/>
                <w:b/>
                <w:bCs/>
                <w:color w:val="000000"/>
              </w:rPr>
              <w:t>Enzyme</w:t>
            </w:r>
          </w:p>
        </w:tc>
        <w:tc>
          <w:tcPr>
            <w:tcW w:w="1420" w:type="dxa"/>
            <w:tcBorders>
              <w:top w:val="single" w:sz="8" w:space="0" w:color="auto"/>
              <w:left w:val="nil"/>
              <w:bottom w:val="single" w:sz="8" w:space="0" w:color="auto"/>
              <w:right w:val="nil"/>
            </w:tcBorders>
            <w:shd w:val="clear" w:color="auto" w:fill="auto"/>
            <w:vAlign w:val="bottom"/>
            <w:hideMark/>
          </w:tcPr>
          <w:p w:rsidR="00FF0101" w:rsidRPr="00DF4341" w:rsidRDefault="00FF0101" w:rsidP="00D24453">
            <w:pPr>
              <w:spacing w:after="0" w:line="240" w:lineRule="auto"/>
              <w:jc w:val="center"/>
              <w:rPr>
                <w:rFonts w:ascii="Calibri" w:eastAsia="Times New Roman" w:hAnsi="Calibri" w:cs="Calibri"/>
                <w:b/>
                <w:bCs/>
                <w:color w:val="000000"/>
              </w:rPr>
            </w:pPr>
            <w:r w:rsidRPr="00DF4341">
              <w:rPr>
                <w:rFonts w:ascii="Calibri" w:eastAsia="Times New Roman" w:hAnsi="Calibri" w:cs="Calibri"/>
                <w:b/>
                <w:bCs/>
                <w:color w:val="000000"/>
              </w:rPr>
              <w:t>Color of product</w:t>
            </w:r>
          </w:p>
        </w:tc>
        <w:tc>
          <w:tcPr>
            <w:tcW w:w="1100" w:type="dxa"/>
            <w:tcBorders>
              <w:top w:val="single" w:sz="8" w:space="0" w:color="auto"/>
              <w:left w:val="nil"/>
              <w:bottom w:val="single" w:sz="8" w:space="0" w:color="auto"/>
              <w:right w:val="nil"/>
            </w:tcBorders>
            <w:shd w:val="clear" w:color="auto" w:fill="auto"/>
            <w:vAlign w:val="bottom"/>
            <w:hideMark/>
          </w:tcPr>
          <w:p w:rsidR="00FF0101" w:rsidRPr="00DF4341" w:rsidRDefault="00FF0101" w:rsidP="00D24453">
            <w:pPr>
              <w:spacing w:after="0" w:line="240" w:lineRule="auto"/>
              <w:jc w:val="center"/>
              <w:rPr>
                <w:rFonts w:ascii="Calibri" w:eastAsia="Times New Roman" w:hAnsi="Calibri" w:cs="Calibri"/>
                <w:b/>
                <w:bCs/>
                <w:color w:val="000000"/>
              </w:rPr>
            </w:pPr>
            <w:r w:rsidRPr="00DF4341">
              <w:rPr>
                <w:rFonts w:ascii="Calibri" w:eastAsia="Times New Roman" w:hAnsi="Calibri" w:cs="Calibri"/>
                <w:b/>
                <w:bCs/>
                <w:color w:val="000000"/>
              </w:rPr>
              <w:t>Max Abs λ (nm)</w:t>
            </w:r>
          </w:p>
        </w:tc>
        <w:tc>
          <w:tcPr>
            <w:tcW w:w="1420" w:type="dxa"/>
            <w:tcBorders>
              <w:top w:val="single" w:sz="8" w:space="0" w:color="auto"/>
              <w:left w:val="nil"/>
              <w:bottom w:val="single" w:sz="8" w:space="0" w:color="auto"/>
              <w:right w:val="single" w:sz="8" w:space="0" w:color="auto"/>
            </w:tcBorders>
            <w:shd w:val="clear" w:color="auto" w:fill="auto"/>
            <w:vAlign w:val="bottom"/>
            <w:hideMark/>
          </w:tcPr>
          <w:p w:rsidR="00FF0101" w:rsidRPr="00DF4341" w:rsidRDefault="00FF0101" w:rsidP="00D24453">
            <w:pPr>
              <w:spacing w:after="0" w:line="240" w:lineRule="auto"/>
              <w:jc w:val="center"/>
              <w:rPr>
                <w:rFonts w:ascii="Calibri" w:eastAsia="Times New Roman" w:hAnsi="Calibri" w:cs="Calibri"/>
                <w:b/>
                <w:bCs/>
                <w:color w:val="000000"/>
              </w:rPr>
            </w:pPr>
            <w:r w:rsidRPr="00DF4341">
              <w:rPr>
                <w:rFonts w:ascii="Calibri" w:eastAsia="Times New Roman" w:hAnsi="Calibri" w:cs="Calibri"/>
                <w:b/>
                <w:bCs/>
                <w:color w:val="000000"/>
              </w:rPr>
              <w:t>Kinetics: "fast" or "slow"?</w:t>
            </w:r>
          </w:p>
        </w:tc>
      </w:tr>
      <w:tr w:rsidR="00FF0101" w:rsidRPr="00DF4341" w:rsidTr="00D24453">
        <w:trPr>
          <w:trHeight w:val="1910"/>
        </w:trPr>
        <w:tc>
          <w:tcPr>
            <w:tcW w:w="960" w:type="dxa"/>
            <w:tcBorders>
              <w:top w:val="nil"/>
              <w:left w:val="single" w:sz="8" w:space="0" w:color="auto"/>
              <w:bottom w:val="single" w:sz="4" w:space="0" w:color="auto"/>
              <w:right w:val="nil"/>
            </w:tcBorders>
            <w:shd w:val="clear" w:color="auto" w:fill="auto"/>
            <w:noWrap/>
            <w:vAlign w:val="center"/>
            <w:hideMark/>
          </w:tcPr>
          <w:p w:rsidR="00FF0101" w:rsidRPr="00DF4341" w:rsidRDefault="00FF0101" w:rsidP="00D24453">
            <w:pPr>
              <w:spacing w:after="0" w:line="240" w:lineRule="auto"/>
              <w:rPr>
                <w:rFonts w:ascii="Calibri" w:eastAsia="Times New Roman" w:hAnsi="Calibri" w:cs="Calibri"/>
                <w:b/>
                <w:bCs/>
                <w:color w:val="000000"/>
              </w:rPr>
            </w:pPr>
            <w:r w:rsidRPr="00DF4341">
              <w:rPr>
                <w:rFonts w:ascii="Calibri" w:eastAsia="Times New Roman" w:hAnsi="Calibri" w:cs="Calibri"/>
                <w:b/>
                <w:bCs/>
                <w:color w:val="000000"/>
              </w:rPr>
              <w:t>TMB</w:t>
            </w:r>
          </w:p>
        </w:tc>
        <w:tc>
          <w:tcPr>
            <w:tcW w:w="1755" w:type="dxa"/>
            <w:tcBorders>
              <w:top w:val="nil"/>
              <w:left w:val="nil"/>
              <w:bottom w:val="single" w:sz="4" w:space="0" w:color="auto"/>
              <w:right w:val="nil"/>
            </w:tcBorders>
            <w:shd w:val="clear" w:color="auto" w:fill="auto"/>
            <w:noWrap/>
            <w:vAlign w:val="bottom"/>
            <w:hideMark/>
          </w:tcPr>
          <w:p w:rsidR="00FF0101" w:rsidRPr="00DF4341" w:rsidRDefault="00FF0101" w:rsidP="00D24453">
            <w:pPr>
              <w:spacing w:after="0" w:line="240" w:lineRule="auto"/>
              <w:rPr>
                <w:rFonts w:ascii="Calibri" w:eastAsia="Times New Roman" w:hAnsi="Calibri" w:cs="Calibri"/>
                <w:color w:val="000000"/>
              </w:rPr>
            </w:pPr>
            <w:r w:rsidRPr="00DF4341">
              <w:rPr>
                <w:rFonts w:ascii="Calibri" w:eastAsia="Times New Roman" w:hAnsi="Calibri" w:cs="Calibri"/>
                <w:color w:val="000000"/>
              </w:rPr>
              <w:t> </w:t>
            </w:r>
          </w:p>
        </w:tc>
        <w:tc>
          <w:tcPr>
            <w:tcW w:w="1890" w:type="dxa"/>
            <w:tcBorders>
              <w:top w:val="nil"/>
              <w:left w:val="nil"/>
              <w:bottom w:val="single" w:sz="4" w:space="0" w:color="auto"/>
              <w:right w:val="nil"/>
            </w:tcBorders>
            <w:shd w:val="clear" w:color="auto" w:fill="auto"/>
            <w:noWrap/>
            <w:vAlign w:val="bottom"/>
            <w:hideMark/>
          </w:tcPr>
          <w:p w:rsidR="00FF0101" w:rsidRPr="00DF4341" w:rsidRDefault="00FF0101" w:rsidP="00D24453">
            <w:pPr>
              <w:spacing w:after="0" w:line="240" w:lineRule="auto"/>
              <w:rPr>
                <w:rFonts w:ascii="Calibri" w:eastAsia="Times New Roman" w:hAnsi="Calibri" w:cs="Calibri"/>
                <w:color w:val="000000"/>
              </w:rPr>
            </w:pPr>
            <w:r w:rsidRPr="00DF4341">
              <w:rPr>
                <w:rFonts w:ascii="Calibri" w:eastAsia="Times New Roman" w:hAnsi="Calibri" w:cs="Calibri"/>
                <w:color w:val="000000"/>
              </w:rPr>
              <w:t> </w:t>
            </w:r>
          </w:p>
        </w:tc>
        <w:tc>
          <w:tcPr>
            <w:tcW w:w="1170" w:type="dxa"/>
            <w:tcBorders>
              <w:top w:val="nil"/>
              <w:left w:val="nil"/>
              <w:bottom w:val="single" w:sz="4" w:space="0" w:color="auto"/>
              <w:right w:val="nil"/>
            </w:tcBorders>
            <w:shd w:val="clear" w:color="auto" w:fill="auto"/>
            <w:noWrap/>
            <w:vAlign w:val="bottom"/>
            <w:hideMark/>
          </w:tcPr>
          <w:p w:rsidR="00FF0101" w:rsidRPr="00DF4341" w:rsidRDefault="00FF0101" w:rsidP="00D24453">
            <w:pPr>
              <w:spacing w:after="0" w:line="240" w:lineRule="auto"/>
              <w:rPr>
                <w:rFonts w:ascii="Calibri" w:eastAsia="Times New Roman" w:hAnsi="Calibri" w:cs="Calibri"/>
                <w:color w:val="000000"/>
              </w:rPr>
            </w:pPr>
            <w:r w:rsidRPr="00DF4341">
              <w:rPr>
                <w:rFonts w:ascii="Calibri" w:eastAsia="Times New Roman" w:hAnsi="Calibri" w:cs="Calibri"/>
                <w:color w:val="000000"/>
              </w:rPr>
              <w:t> </w:t>
            </w:r>
          </w:p>
        </w:tc>
        <w:tc>
          <w:tcPr>
            <w:tcW w:w="1420" w:type="dxa"/>
            <w:tcBorders>
              <w:top w:val="nil"/>
              <w:left w:val="nil"/>
              <w:bottom w:val="single" w:sz="4" w:space="0" w:color="auto"/>
              <w:right w:val="nil"/>
            </w:tcBorders>
            <w:shd w:val="clear" w:color="auto" w:fill="auto"/>
            <w:noWrap/>
            <w:vAlign w:val="bottom"/>
            <w:hideMark/>
          </w:tcPr>
          <w:p w:rsidR="00FF0101" w:rsidRPr="00DF4341" w:rsidRDefault="00FF0101" w:rsidP="00D24453">
            <w:pPr>
              <w:spacing w:after="0" w:line="240" w:lineRule="auto"/>
              <w:rPr>
                <w:rFonts w:ascii="Calibri" w:eastAsia="Times New Roman" w:hAnsi="Calibri" w:cs="Calibri"/>
                <w:color w:val="000000"/>
              </w:rPr>
            </w:pPr>
            <w:r w:rsidRPr="00DF4341">
              <w:rPr>
                <w:rFonts w:ascii="Calibri" w:eastAsia="Times New Roman" w:hAnsi="Calibri" w:cs="Calibri"/>
                <w:color w:val="000000"/>
              </w:rPr>
              <w:t> </w:t>
            </w:r>
          </w:p>
        </w:tc>
        <w:tc>
          <w:tcPr>
            <w:tcW w:w="1100" w:type="dxa"/>
            <w:tcBorders>
              <w:top w:val="nil"/>
              <w:left w:val="nil"/>
              <w:bottom w:val="single" w:sz="4" w:space="0" w:color="auto"/>
              <w:right w:val="nil"/>
            </w:tcBorders>
            <w:shd w:val="clear" w:color="auto" w:fill="auto"/>
            <w:noWrap/>
            <w:vAlign w:val="bottom"/>
            <w:hideMark/>
          </w:tcPr>
          <w:p w:rsidR="00FF0101" w:rsidRPr="00DF4341" w:rsidRDefault="00FF0101" w:rsidP="00D24453">
            <w:pPr>
              <w:spacing w:after="0" w:line="240" w:lineRule="auto"/>
              <w:jc w:val="center"/>
              <w:rPr>
                <w:rFonts w:ascii="Calibri" w:eastAsia="Times New Roman" w:hAnsi="Calibri" w:cs="Calibri"/>
                <w:color w:val="000000"/>
              </w:rPr>
            </w:pPr>
            <w:r w:rsidRPr="00DF4341">
              <w:rPr>
                <w:rFonts w:ascii="Calibri" w:eastAsia="Times New Roman" w:hAnsi="Calibri" w:cs="Calibri"/>
                <w:color w:val="000000"/>
              </w:rPr>
              <w:t> </w:t>
            </w:r>
          </w:p>
        </w:tc>
        <w:tc>
          <w:tcPr>
            <w:tcW w:w="1420" w:type="dxa"/>
            <w:tcBorders>
              <w:top w:val="nil"/>
              <w:left w:val="nil"/>
              <w:bottom w:val="single" w:sz="4" w:space="0" w:color="auto"/>
              <w:right w:val="single" w:sz="8" w:space="0" w:color="auto"/>
            </w:tcBorders>
            <w:shd w:val="clear" w:color="auto" w:fill="auto"/>
            <w:noWrap/>
            <w:vAlign w:val="bottom"/>
            <w:hideMark/>
          </w:tcPr>
          <w:p w:rsidR="00FF0101" w:rsidRPr="00DF4341" w:rsidRDefault="00FF0101" w:rsidP="00D24453">
            <w:pPr>
              <w:spacing w:after="0" w:line="240" w:lineRule="auto"/>
              <w:jc w:val="center"/>
              <w:rPr>
                <w:rFonts w:ascii="Calibri" w:eastAsia="Times New Roman" w:hAnsi="Calibri" w:cs="Calibri"/>
                <w:color w:val="000000"/>
              </w:rPr>
            </w:pPr>
            <w:r w:rsidRPr="00DF4341">
              <w:rPr>
                <w:rFonts w:ascii="Calibri" w:eastAsia="Times New Roman" w:hAnsi="Calibri" w:cs="Calibri"/>
                <w:color w:val="000000"/>
              </w:rPr>
              <w:t> </w:t>
            </w:r>
          </w:p>
        </w:tc>
      </w:tr>
      <w:tr w:rsidR="00FF0101" w:rsidRPr="00DF4341" w:rsidTr="00D24453">
        <w:trPr>
          <w:trHeight w:val="1910"/>
        </w:trPr>
        <w:tc>
          <w:tcPr>
            <w:tcW w:w="960" w:type="dxa"/>
            <w:tcBorders>
              <w:top w:val="nil"/>
              <w:left w:val="single" w:sz="8" w:space="0" w:color="auto"/>
              <w:bottom w:val="single" w:sz="4" w:space="0" w:color="auto"/>
              <w:right w:val="nil"/>
            </w:tcBorders>
            <w:shd w:val="clear" w:color="auto" w:fill="auto"/>
            <w:noWrap/>
            <w:vAlign w:val="center"/>
            <w:hideMark/>
          </w:tcPr>
          <w:p w:rsidR="00FF0101" w:rsidRPr="00DF4341" w:rsidRDefault="00FF0101" w:rsidP="00D24453">
            <w:pPr>
              <w:spacing w:after="0" w:line="240" w:lineRule="auto"/>
              <w:rPr>
                <w:rFonts w:ascii="Calibri" w:eastAsia="Times New Roman" w:hAnsi="Calibri" w:cs="Calibri"/>
                <w:b/>
                <w:bCs/>
                <w:color w:val="000000"/>
              </w:rPr>
            </w:pPr>
            <w:r w:rsidRPr="00DF4341">
              <w:rPr>
                <w:rFonts w:ascii="Calibri" w:eastAsia="Times New Roman" w:hAnsi="Calibri" w:cs="Calibri"/>
                <w:b/>
                <w:bCs/>
                <w:color w:val="000000"/>
              </w:rPr>
              <w:t>ABTS</w:t>
            </w:r>
          </w:p>
        </w:tc>
        <w:tc>
          <w:tcPr>
            <w:tcW w:w="1755" w:type="dxa"/>
            <w:tcBorders>
              <w:top w:val="nil"/>
              <w:left w:val="nil"/>
              <w:bottom w:val="single" w:sz="4" w:space="0" w:color="auto"/>
              <w:right w:val="nil"/>
            </w:tcBorders>
            <w:shd w:val="clear" w:color="auto" w:fill="auto"/>
            <w:noWrap/>
            <w:vAlign w:val="bottom"/>
            <w:hideMark/>
          </w:tcPr>
          <w:p w:rsidR="00FF0101" w:rsidRPr="00DF4341" w:rsidRDefault="00FF0101" w:rsidP="00D24453">
            <w:pPr>
              <w:spacing w:after="0" w:line="240" w:lineRule="auto"/>
              <w:rPr>
                <w:rFonts w:ascii="Calibri" w:eastAsia="Times New Roman" w:hAnsi="Calibri" w:cs="Calibri"/>
                <w:color w:val="000000"/>
              </w:rPr>
            </w:pPr>
            <w:r w:rsidRPr="00DF4341">
              <w:rPr>
                <w:rFonts w:ascii="Calibri" w:eastAsia="Times New Roman" w:hAnsi="Calibri" w:cs="Calibri"/>
                <w:color w:val="000000"/>
              </w:rPr>
              <w:t> </w:t>
            </w:r>
          </w:p>
        </w:tc>
        <w:tc>
          <w:tcPr>
            <w:tcW w:w="1890" w:type="dxa"/>
            <w:tcBorders>
              <w:top w:val="nil"/>
              <w:left w:val="nil"/>
              <w:bottom w:val="single" w:sz="4" w:space="0" w:color="auto"/>
              <w:right w:val="nil"/>
            </w:tcBorders>
            <w:shd w:val="clear" w:color="auto" w:fill="auto"/>
            <w:noWrap/>
            <w:vAlign w:val="bottom"/>
            <w:hideMark/>
          </w:tcPr>
          <w:p w:rsidR="00FF0101" w:rsidRPr="00DF4341" w:rsidRDefault="00FF0101" w:rsidP="00D24453">
            <w:pPr>
              <w:spacing w:after="0" w:line="240" w:lineRule="auto"/>
              <w:rPr>
                <w:rFonts w:ascii="Calibri" w:eastAsia="Times New Roman" w:hAnsi="Calibri" w:cs="Calibri"/>
                <w:color w:val="000000"/>
              </w:rPr>
            </w:pPr>
            <w:r w:rsidRPr="00DF4341">
              <w:rPr>
                <w:rFonts w:ascii="Calibri" w:eastAsia="Times New Roman" w:hAnsi="Calibri" w:cs="Calibri"/>
                <w:color w:val="000000"/>
              </w:rPr>
              <w:t> </w:t>
            </w:r>
          </w:p>
        </w:tc>
        <w:tc>
          <w:tcPr>
            <w:tcW w:w="1170" w:type="dxa"/>
            <w:tcBorders>
              <w:top w:val="nil"/>
              <w:left w:val="nil"/>
              <w:bottom w:val="single" w:sz="4" w:space="0" w:color="auto"/>
              <w:right w:val="nil"/>
            </w:tcBorders>
            <w:shd w:val="clear" w:color="auto" w:fill="auto"/>
            <w:noWrap/>
            <w:vAlign w:val="bottom"/>
            <w:hideMark/>
          </w:tcPr>
          <w:p w:rsidR="00FF0101" w:rsidRPr="00DF4341" w:rsidRDefault="00FF0101" w:rsidP="00D24453">
            <w:pPr>
              <w:spacing w:after="0" w:line="240" w:lineRule="auto"/>
              <w:rPr>
                <w:rFonts w:ascii="Calibri" w:eastAsia="Times New Roman" w:hAnsi="Calibri" w:cs="Calibri"/>
                <w:color w:val="000000"/>
              </w:rPr>
            </w:pPr>
            <w:r w:rsidRPr="00DF4341">
              <w:rPr>
                <w:rFonts w:ascii="Calibri" w:eastAsia="Times New Roman" w:hAnsi="Calibri" w:cs="Calibri"/>
                <w:color w:val="000000"/>
              </w:rPr>
              <w:t> </w:t>
            </w:r>
          </w:p>
        </w:tc>
        <w:tc>
          <w:tcPr>
            <w:tcW w:w="1420" w:type="dxa"/>
            <w:tcBorders>
              <w:top w:val="nil"/>
              <w:left w:val="nil"/>
              <w:bottom w:val="single" w:sz="4" w:space="0" w:color="auto"/>
              <w:right w:val="nil"/>
            </w:tcBorders>
            <w:shd w:val="clear" w:color="auto" w:fill="auto"/>
            <w:noWrap/>
            <w:vAlign w:val="bottom"/>
            <w:hideMark/>
          </w:tcPr>
          <w:p w:rsidR="00FF0101" w:rsidRPr="00DF4341" w:rsidRDefault="00FF0101" w:rsidP="00D24453">
            <w:pPr>
              <w:spacing w:after="0" w:line="240" w:lineRule="auto"/>
              <w:rPr>
                <w:rFonts w:ascii="Calibri" w:eastAsia="Times New Roman" w:hAnsi="Calibri" w:cs="Calibri"/>
                <w:color w:val="000000"/>
              </w:rPr>
            </w:pPr>
            <w:r w:rsidRPr="00DF4341">
              <w:rPr>
                <w:rFonts w:ascii="Calibri" w:eastAsia="Times New Roman" w:hAnsi="Calibri" w:cs="Calibri"/>
                <w:color w:val="000000"/>
              </w:rPr>
              <w:t> </w:t>
            </w:r>
          </w:p>
        </w:tc>
        <w:tc>
          <w:tcPr>
            <w:tcW w:w="1100" w:type="dxa"/>
            <w:tcBorders>
              <w:top w:val="nil"/>
              <w:left w:val="nil"/>
              <w:bottom w:val="single" w:sz="4" w:space="0" w:color="auto"/>
              <w:right w:val="nil"/>
            </w:tcBorders>
            <w:shd w:val="clear" w:color="auto" w:fill="auto"/>
            <w:noWrap/>
            <w:vAlign w:val="bottom"/>
            <w:hideMark/>
          </w:tcPr>
          <w:p w:rsidR="00FF0101" w:rsidRPr="00DF4341" w:rsidRDefault="00FF0101" w:rsidP="00D24453">
            <w:pPr>
              <w:spacing w:after="0" w:line="240" w:lineRule="auto"/>
              <w:jc w:val="center"/>
              <w:rPr>
                <w:rFonts w:ascii="Calibri" w:eastAsia="Times New Roman" w:hAnsi="Calibri" w:cs="Calibri"/>
                <w:color w:val="000000"/>
              </w:rPr>
            </w:pPr>
            <w:r w:rsidRPr="00DF4341">
              <w:rPr>
                <w:rFonts w:ascii="Calibri" w:eastAsia="Times New Roman" w:hAnsi="Calibri" w:cs="Calibri"/>
                <w:color w:val="000000"/>
              </w:rPr>
              <w:t> </w:t>
            </w:r>
          </w:p>
        </w:tc>
        <w:tc>
          <w:tcPr>
            <w:tcW w:w="1420" w:type="dxa"/>
            <w:tcBorders>
              <w:top w:val="nil"/>
              <w:left w:val="nil"/>
              <w:bottom w:val="single" w:sz="4" w:space="0" w:color="auto"/>
              <w:right w:val="single" w:sz="8" w:space="0" w:color="auto"/>
            </w:tcBorders>
            <w:shd w:val="clear" w:color="auto" w:fill="auto"/>
            <w:noWrap/>
            <w:vAlign w:val="bottom"/>
            <w:hideMark/>
          </w:tcPr>
          <w:p w:rsidR="00FF0101" w:rsidRPr="00DF4341" w:rsidRDefault="00FF0101" w:rsidP="00D24453">
            <w:pPr>
              <w:spacing w:after="0" w:line="240" w:lineRule="auto"/>
              <w:jc w:val="center"/>
              <w:rPr>
                <w:rFonts w:ascii="Calibri" w:eastAsia="Times New Roman" w:hAnsi="Calibri" w:cs="Calibri"/>
                <w:color w:val="000000"/>
              </w:rPr>
            </w:pPr>
            <w:r w:rsidRPr="00DF4341">
              <w:rPr>
                <w:rFonts w:ascii="Calibri" w:eastAsia="Times New Roman" w:hAnsi="Calibri" w:cs="Calibri"/>
                <w:color w:val="000000"/>
              </w:rPr>
              <w:t> </w:t>
            </w:r>
          </w:p>
        </w:tc>
      </w:tr>
      <w:tr w:rsidR="00FF0101" w:rsidRPr="00DF4341" w:rsidTr="00D24453">
        <w:trPr>
          <w:trHeight w:val="1910"/>
        </w:trPr>
        <w:tc>
          <w:tcPr>
            <w:tcW w:w="960" w:type="dxa"/>
            <w:tcBorders>
              <w:top w:val="nil"/>
              <w:left w:val="single" w:sz="8" w:space="0" w:color="auto"/>
              <w:bottom w:val="single" w:sz="8" w:space="0" w:color="auto"/>
              <w:right w:val="nil"/>
            </w:tcBorders>
            <w:shd w:val="clear" w:color="auto" w:fill="auto"/>
            <w:noWrap/>
            <w:vAlign w:val="center"/>
            <w:hideMark/>
          </w:tcPr>
          <w:p w:rsidR="00FF0101" w:rsidRPr="00DF4341" w:rsidRDefault="00FF0101" w:rsidP="00D24453">
            <w:pPr>
              <w:spacing w:after="0" w:line="240" w:lineRule="auto"/>
              <w:rPr>
                <w:rFonts w:ascii="Calibri" w:eastAsia="Times New Roman" w:hAnsi="Calibri" w:cs="Calibri"/>
                <w:b/>
                <w:bCs/>
                <w:color w:val="000000"/>
              </w:rPr>
            </w:pPr>
            <w:r w:rsidRPr="00DF4341">
              <w:rPr>
                <w:rFonts w:ascii="Calibri" w:eastAsia="Times New Roman" w:hAnsi="Calibri" w:cs="Calibri"/>
                <w:b/>
                <w:bCs/>
                <w:color w:val="000000"/>
              </w:rPr>
              <w:t>PNPP</w:t>
            </w:r>
          </w:p>
        </w:tc>
        <w:tc>
          <w:tcPr>
            <w:tcW w:w="1755" w:type="dxa"/>
            <w:tcBorders>
              <w:top w:val="nil"/>
              <w:left w:val="nil"/>
              <w:bottom w:val="single" w:sz="8" w:space="0" w:color="auto"/>
              <w:right w:val="nil"/>
            </w:tcBorders>
            <w:shd w:val="clear" w:color="auto" w:fill="auto"/>
            <w:noWrap/>
            <w:vAlign w:val="bottom"/>
            <w:hideMark/>
          </w:tcPr>
          <w:p w:rsidR="00FF0101" w:rsidRPr="00DF4341" w:rsidRDefault="00FF0101" w:rsidP="00D24453">
            <w:pPr>
              <w:spacing w:after="0" w:line="240" w:lineRule="auto"/>
              <w:rPr>
                <w:rFonts w:ascii="Calibri" w:eastAsia="Times New Roman" w:hAnsi="Calibri" w:cs="Calibri"/>
                <w:color w:val="000000"/>
              </w:rPr>
            </w:pPr>
            <w:r w:rsidRPr="00DF4341">
              <w:rPr>
                <w:rFonts w:ascii="Calibri" w:eastAsia="Times New Roman" w:hAnsi="Calibri" w:cs="Calibri"/>
                <w:color w:val="000000"/>
              </w:rPr>
              <w:t> </w:t>
            </w:r>
          </w:p>
        </w:tc>
        <w:tc>
          <w:tcPr>
            <w:tcW w:w="1890" w:type="dxa"/>
            <w:tcBorders>
              <w:top w:val="nil"/>
              <w:left w:val="nil"/>
              <w:bottom w:val="single" w:sz="8" w:space="0" w:color="auto"/>
              <w:right w:val="nil"/>
            </w:tcBorders>
            <w:shd w:val="clear" w:color="auto" w:fill="auto"/>
            <w:noWrap/>
            <w:vAlign w:val="bottom"/>
            <w:hideMark/>
          </w:tcPr>
          <w:p w:rsidR="00FF0101" w:rsidRPr="00DF4341" w:rsidRDefault="00FF0101" w:rsidP="00D24453">
            <w:pPr>
              <w:spacing w:after="0" w:line="240" w:lineRule="auto"/>
              <w:rPr>
                <w:rFonts w:ascii="Calibri" w:eastAsia="Times New Roman" w:hAnsi="Calibri" w:cs="Calibri"/>
                <w:color w:val="000000"/>
              </w:rPr>
            </w:pPr>
            <w:r w:rsidRPr="00DF4341">
              <w:rPr>
                <w:rFonts w:ascii="Calibri" w:eastAsia="Times New Roman" w:hAnsi="Calibri" w:cs="Calibri"/>
                <w:color w:val="000000"/>
              </w:rPr>
              <w:t> </w:t>
            </w:r>
          </w:p>
        </w:tc>
        <w:tc>
          <w:tcPr>
            <w:tcW w:w="1170" w:type="dxa"/>
            <w:tcBorders>
              <w:top w:val="nil"/>
              <w:left w:val="nil"/>
              <w:bottom w:val="single" w:sz="8" w:space="0" w:color="auto"/>
              <w:right w:val="nil"/>
            </w:tcBorders>
            <w:shd w:val="clear" w:color="auto" w:fill="auto"/>
            <w:noWrap/>
            <w:vAlign w:val="bottom"/>
            <w:hideMark/>
          </w:tcPr>
          <w:p w:rsidR="00FF0101" w:rsidRPr="00DF4341" w:rsidRDefault="00FF0101" w:rsidP="00D24453">
            <w:pPr>
              <w:spacing w:after="0" w:line="240" w:lineRule="auto"/>
              <w:rPr>
                <w:rFonts w:ascii="Calibri" w:eastAsia="Times New Roman" w:hAnsi="Calibri" w:cs="Calibri"/>
                <w:color w:val="000000"/>
              </w:rPr>
            </w:pPr>
            <w:r w:rsidRPr="00DF4341">
              <w:rPr>
                <w:rFonts w:ascii="Calibri" w:eastAsia="Times New Roman" w:hAnsi="Calibri" w:cs="Calibri"/>
                <w:color w:val="000000"/>
              </w:rPr>
              <w:t> </w:t>
            </w:r>
          </w:p>
        </w:tc>
        <w:tc>
          <w:tcPr>
            <w:tcW w:w="1420" w:type="dxa"/>
            <w:tcBorders>
              <w:top w:val="nil"/>
              <w:left w:val="nil"/>
              <w:bottom w:val="single" w:sz="8" w:space="0" w:color="auto"/>
              <w:right w:val="nil"/>
            </w:tcBorders>
            <w:shd w:val="clear" w:color="auto" w:fill="auto"/>
            <w:noWrap/>
            <w:vAlign w:val="bottom"/>
            <w:hideMark/>
          </w:tcPr>
          <w:p w:rsidR="00FF0101" w:rsidRPr="00DF4341" w:rsidRDefault="00FF0101" w:rsidP="00D24453">
            <w:pPr>
              <w:spacing w:after="0" w:line="240" w:lineRule="auto"/>
              <w:rPr>
                <w:rFonts w:ascii="Calibri" w:eastAsia="Times New Roman" w:hAnsi="Calibri" w:cs="Calibri"/>
                <w:color w:val="000000"/>
              </w:rPr>
            </w:pPr>
            <w:r w:rsidRPr="00DF4341">
              <w:rPr>
                <w:rFonts w:ascii="Calibri" w:eastAsia="Times New Roman" w:hAnsi="Calibri" w:cs="Calibri"/>
                <w:color w:val="000000"/>
              </w:rPr>
              <w:t> </w:t>
            </w:r>
          </w:p>
        </w:tc>
        <w:tc>
          <w:tcPr>
            <w:tcW w:w="1100" w:type="dxa"/>
            <w:tcBorders>
              <w:top w:val="nil"/>
              <w:left w:val="nil"/>
              <w:bottom w:val="single" w:sz="8" w:space="0" w:color="auto"/>
              <w:right w:val="nil"/>
            </w:tcBorders>
            <w:shd w:val="clear" w:color="auto" w:fill="auto"/>
            <w:noWrap/>
            <w:vAlign w:val="bottom"/>
            <w:hideMark/>
          </w:tcPr>
          <w:p w:rsidR="00FF0101" w:rsidRPr="00DF4341" w:rsidRDefault="00FF0101" w:rsidP="00D24453">
            <w:pPr>
              <w:spacing w:after="0" w:line="240" w:lineRule="auto"/>
              <w:jc w:val="center"/>
              <w:rPr>
                <w:rFonts w:ascii="Calibri" w:eastAsia="Times New Roman" w:hAnsi="Calibri" w:cs="Calibri"/>
                <w:color w:val="000000"/>
              </w:rPr>
            </w:pPr>
            <w:r w:rsidRPr="00DF4341">
              <w:rPr>
                <w:rFonts w:ascii="Calibri" w:eastAsia="Times New Roman" w:hAnsi="Calibri" w:cs="Calibri"/>
                <w:color w:val="000000"/>
              </w:rPr>
              <w:t> </w:t>
            </w:r>
          </w:p>
        </w:tc>
        <w:tc>
          <w:tcPr>
            <w:tcW w:w="1420" w:type="dxa"/>
            <w:tcBorders>
              <w:top w:val="nil"/>
              <w:left w:val="nil"/>
              <w:bottom w:val="single" w:sz="8" w:space="0" w:color="auto"/>
              <w:right w:val="single" w:sz="8" w:space="0" w:color="auto"/>
            </w:tcBorders>
            <w:shd w:val="clear" w:color="auto" w:fill="auto"/>
            <w:noWrap/>
            <w:vAlign w:val="bottom"/>
            <w:hideMark/>
          </w:tcPr>
          <w:p w:rsidR="00FF0101" w:rsidRPr="00DF4341" w:rsidRDefault="00FF0101" w:rsidP="00D24453">
            <w:pPr>
              <w:spacing w:after="0" w:line="240" w:lineRule="auto"/>
              <w:jc w:val="center"/>
              <w:rPr>
                <w:rFonts w:ascii="Calibri" w:eastAsia="Times New Roman" w:hAnsi="Calibri" w:cs="Calibri"/>
                <w:color w:val="000000"/>
              </w:rPr>
            </w:pPr>
            <w:r w:rsidRPr="00DF4341">
              <w:rPr>
                <w:rFonts w:ascii="Calibri" w:eastAsia="Times New Roman" w:hAnsi="Calibri" w:cs="Calibri"/>
                <w:color w:val="000000"/>
              </w:rPr>
              <w:t> </w:t>
            </w:r>
          </w:p>
        </w:tc>
      </w:tr>
    </w:tbl>
    <w:p w:rsidR="00FF0101" w:rsidRDefault="00FF0101" w:rsidP="00FF0101">
      <w:pPr>
        <w:pStyle w:val="ListParagraph"/>
      </w:pPr>
    </w:p>
    <w:p w:rsidR="00FF0101" w:rsidRDefault="00FF0101" w:rsidP="00FF0101">
      <w:pPr>
        <w:pStyle w:val="ListParagraph"/>
      </w:pPr>
      <w:r>
        <w:t>Primary reference(s) used:</w:t>
      </w:r>
    </w:p>
    <w:p w:rsidR="00FF0101" w:rsidRDefault="00FF0101" w:rsidP="00FF0101">
      <w:r>
        <w:br w:type="page"/>
      </w:r>
    </w:p>
    <w:p w:rsidR="00FF0101" w:rsidRDefault="00FF0101" w:rsidP="00FF0101">
      <w:pPr>
        <w:pStyle w:val="ListParagraph"/>
      </w:pPr>
    </w:p>
    <w:p w:rsidR="00FF0101" w:rsidRPr="00CA1156" w:rsidRDefault="00FF0101" w:rsidP="00FF0101">
      <w:pPr>
        <w:pStyle w:val="ListParagraph"/>
        <w:numPr>
          <w:ilvl w:val="0"/>
          <w:numId w:val="10"/>
        </w:numPr>
        <w:rPr>
          <w:b/>
        </w:rPr>
      </w:pPr>
      <w:r w:rsidRPr="00CA1156">
        <w:rPr>
          <w:b/>
        </w:rPr>
        <w:t>Non-enzymatic readouts</w:t>
      </w:r>
    </w:p>
    <w:p w:rsidR="00FF0101" w:rsidRDefault="00FF0101" w:rsidP="00FF0101">
      <w:pPr>
        <w:pStyle w:val="ListParagraph"/>
      </w:pPr>
      <w:r>
        <w:t xml:space="preserve">The most common non-enzymatic readout is fluorescence, using fluorescent dyes conjugated to the detection antibody or to streptavidin.  However, many other creative options have been developed, for example for a readout that is visible by eye. </w:t>
      </w:r>
    </w:p>
    <w:p w:rsidR="00FF0101" w:rsidRDefault="00FF0101" w:rsidP="00FF0101">
      <w:pPr>
        <w:pStyle w:val="ListParagraph"/>
      </w:pPr>
    </w:p>
    <w:p w:rsidR="00FF0101" w:rsidRDefault="00FF0101" w:rsidP="00FF0101">
      <w:pPr>
        <w:pStyle w:val="ListParagraph"/>
      </w:pPr>
      <w:r>
        <w:t xml:space="preserve">Search online to research one of the following methods in terms of how it has been used as a readout for an immunoassay:  </w:t>
      </w:r>
      <w:r w:rsidRPr="00E046E9">
        <w:t>Nanoparticle aggregation, turbidity, silver precipitation</w:t>
      </w:r>
      <w:r>
        <w:t>. (</w:t>
      </w:r>
      <w:r w:rsidRPr="006D4FCC">
        <w:rPr>
          <w:i/>
        </w:rPr>
        <w:t>circle</w:t>
      </w:r>
      <w:r>
        <w:t>)</w:t>
      </w:r>
    </w:p>
    <w:p w:rsidR="00FF0101" w:rsidRDefault="00FF0101" w:rsidP="00FF0101">
      <w:pPr>
        <w:pStyle w:val="ListParagraph"/>
      </w:pPr>
    </w:p>
    <w:p w:rsidR="00FF0101" w:rsidRDefault="00FF0101" w:rsidP="00FF0101">
      <w:pPr>
        <w:pStyle w:val="ListParagraph"/>
      </w:pPr>
      <w:r>
        <w:t>Choose one immunoassay design that you find interesting.  Draw a schematic of the immunoassay complex and depict how the detection method works.  Include a 1-sentence caption that describes what they are detecting and the premise of the assay.</w:t>
      </w:r>
    </w:p>
    <w:p w:rsidR="00FF0101" w:rsidRDefault="00FF0101" w:rsidP="00FF0101">
      <w:pPr>
        <w:pStyle w:val="ListParagraph"/>
      </w:pPr>
    </w:p>
    <w:p w:rsidR="00FF0101" w:rsidRDefault="00FF0101" w:rsidP="00FF0101">
      <w:pPr>
        <w:pStyle w:val="ListParagraph"/>
      </w:pPr>
    </w:p>
    <w:p w:rsidR="00FF0101" w:rsidRDefault="00FF0101" w:rsidP="00FF0101">
      <w:pPr>
        <w:pStyle w:val="ListParagraph"/>
      </w:pPr>
    </w:p>
    <w:p w:rsidR="00FF0101" w:rsidRDefault="00FF0101" w:rsidP="00FF0101">
      <w:pPr>
        <w:pStyle w:val="ListParagraph"/>
      </w:pPr>
    </w:p>
    <w:p w:rsidR="00FF0101" w:rsidRDefault="00FF0101" w:rsidP="00FF0101">
      <w:pPr>
        <w:pStyle w:val="ListParagraph"/>
      </w:pPr>
    </w:p>
    <w:p w:rsidR="00FF0101" w:rsidRDefault="00FF0101" w:rsidP="00FF0101">
      <w:pPr>
        <w:pStyle w:val="ListParagraph"/>
      </w:pPr>
    </w:p>
    <w:p w:rsidR="00FF0101" w:rsidRDefault="00FF0101" w:rsidP="00FF0101">
      <w:pPr>
        <w:pStyle w:val="ListParagraph"/>
      </w:pPr>
    </w:p>
    <w:p w:rsidR="00FF0101" w:rsidRDefault="00FF0101" w:rsidP="00FF0101">
      <w:pPr>
        <w:pStyle w:val="ListParagraph"/>
      </w:pPr>
    </w:p>
    <w:p w:rsidR="00FF0101" w:rsidRDefault="00FF0101" w:rsidP="00FF0101">
      <w:pPr>
        <w:pStyle w:val="ListParagraph"/>
      </w:pPr>
    </w:p>
    <w:p w:rsidR="00FF0101" w:rsidRDefault="00FF0101" w:rsidP="00FF0101">
      <w:pPr>
        <w:pStyle w:val="ListParagraph"/>
      </w:pPr>
    </w:p>
    <w:p w:rsidR="00FF0101" w:rsidRDefault="00FF0101" w:rsidP="00FF0101">
      <w:pPr>
        <w:pStyle w:val="ListParagraph"/>
      </w:pPr>
    </w:p>
    <w:p w:rsidR="00FF0101" w:rsidRDefault="00FF0101" w:rsidP="00FF0101">
      <w:pPr>
        <w:pStyle w:val="ListParagraph"/>
      </w:pPr>
    </w:p>
    <w:p w:rsidR="00FF0101" w:rsidRDefault="00FF0101" w:rsidP="00FF0101">
      <w:pPr>
        <w:pStyle w:val="ListParagraph"/>
      </w:pPr>
    </w:p>
    <w:p w:rsidR="00FF0101" w:rsidRDefault="00FF0101" w:rsidP="00FF0101">
      <w:pPr>
        <w:pStyle w:val="ListParagraph"/>
      </w:pPr>
    </w:p>
    <w:p w:rsidR="00FF0101" w:rsidRDefault="00FF0101" w:rsidP="00FF0101">
      <w:pPr>
        <w:pStyle w:val="ListParagraph"/>
      </w:pPr>
    </w:p>
    <w:p w:rsidR="00FF0101" w:rsidRDefault="00FF0101" w:rsidP="00FF0101">
      <w:pPr>
        <w:pStyle w:val="ListParagraph"/>
      </w:pPr>
    </w:p>
    <w:p w:rsidR="00FF0101" w:rsidRDefault="00FF0101" w:rsidP="00FF0101">
      <w:pPr>
        <w:pStyle w:val="ListParagraph"/>
      </w:pPr>
      <w:r>
        <w:t xml:space="preserve">What are the advantages of this method compared to ELISA or fluorescent labels?  </w:t>
      </w:r>
    </w:p>
    <w:p w:rsidR="00FF0101" w:rsidRDefault="00FF0101" w:rsidP="00FF0101">
      <w:pPr>
        <w:pStyle w:val="ListParagraph"/>
      </w:pPr>
    </w:p>
    <w:p w:rsidR="00FF0101" w:rsidRDefault="00FF0101" w:rsidP="00FF0101">
      <w:pPr>
        <w:pStyle w:val="ListParagraph"/>
      </w:pPr>
    </w:p>
    <w:p w:rsidR="00FF0101" w:rsidRDefault="00FF0101" w:rsidP="00FF0101">
      <w:pPr>
        <w:pStyle w:val="ListParagraph"/>
      </w:pPr>
    </w:p>
    <w:p w:rsidR="00FF0101" w:rsidRDefault="00FF0101" w:rsidP="00FF0101">
      <w:pPr>
        <w:pStyle w:val="ListParagraph"/>
      </w:pPr>
    </w:p>
    <w:p w:rsidR="00FF0101" w:rsidRDefault="00FF0101" w:rsidP="00FF0101">
      <w:pPr>
        <w:pStyle w:val="ListParagraph"/>
      </w:pPr>
    </w:p>
    <w:p w:rsidR="00FF0101" w:rsidRDefault="00FF0101" w:rsidP="00FF0101">
      <w:pPr>
        <w:pStyle w:val="ListParagraph"/>
      </w:pPr>
      <w:r>
        <w:t xml:space="preserve">What are the disadvantages of this method compared to ELISA or fluorescent labels?  </w:t>
      </w:r>
    </w:p>
    <w:p w:rsidR="00FF0101" w:rsidRDefault="00FF0101" w:rsidP="00FF0101">
      <w:pPr>
        <w:pStyle w:val="ListParagraph"/>
      </w:pPr>
    </w:p>
    <w:p w:rsidR="00FF0101" w:rsidRDefault="00FF0101" w:rsidP="00FF0101">
      <w:pPr>
        <w:pStyle w:val="ListParagraph"/>
      </w:pPr>
    </w:p>
    <w:p w:rsidR="00FF0101" w:rsidRDefault="00FF0101" w:rsidP="00FF0101">
      <w:pPr>
        <w:pStyle w:val="ListParagraph"/>
      </w:pPr>
    </w:p>
    <w:p w:rsidR="00FF0101" w:rsidRDefault="00FF0101" w:rsidP="00FF0101">
      <w:pPr>
        <w:pStyle w:val="ListParagraph"/>
      </w:pPr>
    </w:p>
    <w:p w:rsidR="00FF0101" w:rsidRDefault="00FF0101" w:rsidP="00FF0101">
      <w:pPr>
        <w:pStyle w:val="ListParagraph"/>
      </w:pPr>
    </w:p>
    <w:p w:rsidR="00FF0101" w:rsidRDefault="00FF0101" w:rsidP="00FF0101">
      <w:pPr>
        <w:pStyle w:val="ListParagraph"/>
      </w:pPr>
      <w:bookmarkStart w:id="0" w:name="_GoBack"/>
      <w:bookmarkEnd w:id="0"/>
      <w:r>
        <w:t>Primary reference(s) used:</w:t>
      </w:r>
    </w:p>
    <w:sectPr w:rsidR="00FF0101">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34BE9" w:rsidRDefault="00334BE9" w:rsidP="007453EA">
      <w:pPr>
        <w:spacing w:after="0" w:line="240" w:lineRule="auto"/>
      </w:pPr>
      <w:r>
        <w:separator/>
      </w:r>
    </w:p>
  </w:endnote>
  <w:endnote w:type="continuationSeparator" w:id="0">
    <w:p w:rsidR="00334BE9" w:rsidRDefault="00334BE9" w:rsidP="007453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53EA" w:rsidRDefault="007453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53906159"/>
      <w:docPartObj>
        <w:docPartGallery w:val="Page Numbers (Bottom of Page)"/>
        <w:docPartUnique/>
      </w:docPartObj>
    </w:sdtPr>
    <w:sdtEndPr>
      <w:rPr>
        <w:noProof/>
      </w:rPr>
    </w:sdtEndPr>
    <w:sdtContent>
      <w:p w:rsidR="007453EA" w:rsidRDefault="007453EA">
        <w:pPr>
          <w:pStyle w:val="Footer"/>
          <w:jc w:val="right"/>
        </w:pPr>
        <w:r>
          <w:fldChar w:fldCharType="begin"/>
        </w:r>
        <w:r>
          <w:instrText xml:space="preserve"> PAGE   \* MERGEFORMAT </w:instrText>
        </w:r>
        <w:r>
          <w:fldChar w:fldCharType="separate"/>
        </w:r>
        <w:r w:rsidR="00A868D5">
          <w:rPr>
            <w:noProof/>
          </w:rPr>
          <w:t>2</w:t>
        </w:r>
        <w:r>
          <w:rPr>
            <w:noProof/>
          </w:rPr>
          <w:fldChar w:fldCharType="end"/>
        </w:r>
      </w:p>
    </w:sdtContent>
  </w:sdt>
  <w:p w:rsidR="007453EA" w:rsidRDefault="007453E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53EA" w:rsidRDefault="007453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34BE9" w:rsidRDefault="00334BE9" w:rsidP="007453EA">
      <w:pPr>
        <w:spacing w:after="0" w:line="240" w:lineRule="auto"/>
      </w:pPr>
      <w:r>
        <w:separator/>
      </w:r>
    </w:p>
  </w:footnote>
  <w:footnote w:type="continuationSeparator" w:id="0">
    <w:p w:rsidR="00334BE9" w:rsidRDefault="00334BE9" w:rsidP="007453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53EA" w:rsidRDefault="007453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53EA" w:rsidRDefault="007453E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53EA" w:rsidRDefault="007453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760BE7"/>
    <w:multiLevelType w:val="hybridMultilevel"/>
    <w:tmpl w:val="B3FECA96"/>
    <w:lvl w:ilvl="0" w:tplc="04090017">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2516550"/>
    <w:multiLevelType w:val="multilevel"/>
    <w:tmpl w:val="FDCE68FA"/>
    <w:lvl w:ilvl="0">
      <w:start w:val="1"/>
      <w:numFmt w:val="decimal"/>
      <w:lvlText w:val="%1."/>
      <w:lvlJc w:val="left"/>
      <w:pPr>
        <w:tabs>
          <w:tab w:val="num" w:pos="900"/>
        </w:tabs>
        <w:ind w:left="900" w:hanging="360"/>
      </w:pPr>
    </w:lvl>
    <w:lvl w:ilvl="1">
      <w:start w:val="1"/>
      <w:numFmt w:val="lowerRoman"/>
      <w:lvlText w:val="%2."/>
      <w:lvlJc w:val="right"/>
      <w:pPr>
        <w:tabs>
          <w:tab w:val="num" w:pos="1620"/>
        </w:tabs>
        <w:ind w:left="1620" w:hanging="360"/>
      </w:pPr>
    </w:lvl>
    <w:lvl w:ilvl="2" w:tentative="1">
      <w:start w:val="1"/>
      <w:numFmt w:val="decimal"/>
      <w:lvlText w:val="%3."/>
      <w:lvlJc w:val="left"/>
      <w:pPr>
        <w:tabs>
          <w:tab w:val="num" w:pos="2340"/>
        </w:tabs>
        <w:ind w:left="2340" w:hanging="360"/>
      </w:pPr>
    </w:lvl>
    <w:lvl w:ilvl="3" w:tentative="1">
      <w:start w:val="1"/>
      <w:numFmt w:val="decimal"/>
      <w:lvlText w:val="%4."/>
      <w:lvlJc w:val="left"/>
      <w:pPr>
        <w:tabs>
          <w:tab w:val="num" w:pos="3060"/>
        </w:tabs>
        <w:ind w:left="3060" w:hanging="360"/>
      </w:pPr>
    </w:lvl>
    <w:lvl w:ilvl="4" w:tentative="1">
      <w:start w:val="1"/>
      <w:numFmt w:val="decimal"/>
      <w:lvlText w:val="%5."/>
      <w:lvlJc w:val="left"/>
      <w:pPr>
        <w:tabs>
          <w:tab w:val="num" w:pos="3780"/>
        </w:tabs>
        <w:ind w:left="3780" w:hanging="360"/>
      </w:pPr>
    </w:lvl>
    <w:lvl w:ilvl="5" w:tentative="1">
      <w:start w:val="1"/>
      <w:numFmt w:val="decimal"/>
      <w:lvlText w:val="%6."/>
      <w:lvlJc w:val="left"/>
      <w:pPr>
        <w:tabs>
          <w:tab w:val="num" w:pos="4500"/>
        </w:tabs>
        <w:ind w:left="4500" w:hanging="360"/>
      </w:pPr>
    </w:lvl>
    <w:lvl w:ilvl="6" w:tentative="1">
      <w:start w:val="1"/>
      <w:numFmt w:val="decimal"/>
      <w:lvlText w:val="%7."/>
      <w:lvlJc w:val="left"/>
      <w:pPr>
        <w:tabs>
          <w:tab w:val="num" w:pos="5220"/>
        </w:tabs>
        <w:ind w:left="5220" w:hanging="360"/>
      </w:pPr>
    </w:lvl>
    <w:lvl w:ilvl="7" w:tentative="1">
      <w:start w:val="1"/>
      <w:numFmt w:val="decimal"/>
      <w:lvlText w:val="%8."/>
      <w:lvlJc w:val="left"/>
      <w:pPr>
        <w:tabs>
          <w:tab w:val="num" w:pos="5940"/>
        </w:tabs>
        <w:ind w:left="5940" w:hanging="360"/>
      </w:pPr>
    </w:lvl>
    <w:lvl w:ilvl="8" w:tentative="1">
      <w:start w:val="1"/>
      <w:numFmt w:val="decimal"/>
      <w:lvlText w:val="%9."/>
      <w:lvlJc w:val="left"/>
      <w:pPr>
        <w:tabs>
          <w:tab w:val="num" w:pos="6660"/>
        </w:tabs>
        <w:ind w:left="6660" w:hanging="360"/>
      </w:pPr>
    </w:lvl>
  </w:abstractNum>
  <w:abstractNum w:abstractNumId="2" w15:restartNumberingAfterBreak="0">
    <w:nsid w:val="168A5422"/>
    <w:multiLevelType w:val="hybridMultilevel"/>
    <w:tmpl w:val="3D00987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502920"/>
    <w:multiLevelType w:val="hybridMultilevel"/>
    <w:tmpl w:val="32D69C6C"/>
    <w:lvl w:ilvl="0" w:tplc="2C645C4C">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01">
      <w:start w:val="1"/>
      <w:numFmt w:val="bullet"/>
      <w:lvlText w:val=""/>
      <w:lvlJc w:val="left"/>
      <w:pPr>
        <w:ind w:left="1800" w:hanging="180"/>
      </w:pPr>
      <w:rPr>
        <w:rFonts w:ascii="Symbol" w:hAnsi="Symbol"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F305963"/>
    <w:multiLevelType w:val="hybridMultilevel"/>
    <w:tmpl w:val="921EEFC4"/>
    <w:lvl w:ilvl="0" w:tplc="D2D01C8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7927E37"/>
    <w:multiLevelType w:val="hybridMultilevel"/>
    <w:tmpl w:val="99F6FF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9CC5103"/>
    <w:multiLevelType w:val="hybridMultilevel"/>
    <w:tmpl w:val="3B78D234"/>
    <w:lvl w:ilvl="0" w:tplc="2C645C4C">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02E325A"/>
    <w:multiLevelType w:val="hybridMultilevel"/>
    <w:tmpl w:val="C79E89FA"/>
    <w:lvl w:ilvl="0" w:tplc="9F620AF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2B3714B"/>
    <w:multiLevelType w:val="hybridMultilevel"/>
    <w:tmpl w:val="348AF5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2912DAC"/>
    <w:multiLevelType w:val="hybridMultilevel"/>
    <w:tmpl w:val="63EE1128"/>
    <w:lvl w:ilvl="0" w:tplc="8A0A268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15:restartNumberingAfterBreak="0">
    <w:nsid w:val="671A1F8E"/>
    <w:multiLevelType w:val="hybridMultilevel"/>
    <w:tmpl w:val="99DC235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D0C1AEE"/>
    <w:multiLevelType w:val="hybridMultilevel"/>
    <w:tmpl w:val="A0209308"/>
    <w:lvl w:ilvl="0" w:tplc="0409000F">
      <w:start w:val="3"/>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F181D63"/>
    <w:multiLevelType w:val="hybridMultilevel"/>
    <w:tmpl w:val="57B40A0C"/>
    <w:lvl w:ilvl="0" w:tplc="7B285228">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F360648"/>
    <w:multiLevelType w:val="hybridMultilevel"/>
    <w:tmpl w:val="3A60C3DC"/>
    <w:lvl w:ilvl="0" w:tplc="A156E9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0"/>
  </w:num>
  <w:num w:numId="3">
    <w:abstractNumId w:val="12"/>
  </w:num>
  <w:num w:numId="4">
    <w:abstractNumId w:val="11"/>
  </w:num>
  <w:num w:numId="5">
    <w:abstractNumId w:val="1"/>
    <w:lvlOverride w:ilvl="0">
      <w:startOverride w:val="1"/>
    </w:lvlOverride>
  </w:num>
  <w:num w:numId="6">
    <w:abstractNumId w:val="7"/>
  </w:num>
  <w:num w:numId="7">
    <w:abstractNumId w:val="4"/>
  </w:num>
  <w:num w:numId="8">
    <w:abstractNumId w:val="13"/>
  </w:num>
  <w:num w:numId="9">
    <w:abstractNumId w:val="9"/>
  </w:num>
  <w:num w:numId="10">
    <w:abstractNumId w:val="8"/>
  </w:num>
  <w:num w:numId="11">
    <w:abstractNumId w:val="5"/>
  </w:num>
  <w:num w:numId="12">
    <w:abstractNumId w:val="3"/>
  </w:num>
  <w:num w:numId="13">
    <w:abstractNumId w:val="0"/>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55B"/>
    <w:rsid w:val="000624FF"/>
    <w:rsid w:val="000F40D8"/>
    <w:rsid w:val="002957AE"/>
    <w:rsid w:val="00334BE9"/>
    <w:rsid w:val="0035221A"/>
    <w:rsid w:val="00580A9A"/>
    <w:rsid w:val="005B38F7"/>
    <w:rsid w:val="00725EB3"/>
    <w:rsid w:val="007453EA"/>
    <w:rsid w:val="007D7B45"/>
    <w:rsid w:val="008A4E4C"/>
    <w:rsid w:val="00905403"/>
    <w:rsid w:val="00A25276"/>
    <w:rsid w:val="00A868D5"/>
    <w:rsid w:val="00B71F6C"/>
    <w:rsid w:val="00BE15DA"/>
    <w:rsid w:val="00C72BBD"/>
    <w:rsid w:val="00EA1C6E"/>
    <w:rsid w:val="00EB0604"/>
    <w:rsid w:val="00F7255B"/>
    <w:rsid w:val="00FF0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EF189"/>
  <w15:docId w15:val="{CEE47439-4B8B-42B8-BA22-E1D3DAE82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0F40D8"/>
    <w:pPr>
      <w:spacing w:line="240" w:lineRule="auto"/>
    </w:pPr>
    <w:rPr>
      <w:rFonts w:ascii="Arial" w:hAnsi="Arial"/>
      <w:b/>
      <w:bCs/>
      <w:sz w:val="20"/>
      <w:szCs w:val="18"/>
    </w:rPr>
  </w:style>
  <w:style w:type="paragraph" w:styleId="ListParagraph">
    <w:name w:val="List Paragraph"/>
    <w:basedOn w:val="Normal"/>
    <w:uiPriority w:val="34"/>
    <w:qFormat/>
    <w:rsid w:val="002957AE"/>
    <w:pPr>
      <w:ind w:left="720"/>
      <w:contextualSpacing/>
    </w:pPr>
  </w:style>
  <w:style w:type="paragraph" w:styleId="Header">
    <w:name w:val="header"/>
    <w:basedOn w:val="Normal"/>
    <w:link w:val="HeaderChar"/>
    <w:uiPriority w:val="99"/>
    <w:unhideWhenUsed/>
    <w:rsid w:val="007453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53EA"/>
  </w:style>
  <w:style w:type="paragraph" w:styleId="Footer">
    <w:name w:val="footer"/>
    <w:basedOn w:val="Normal"/>
    <w:link w:val="FooterChar"/>
    <w:uiPriority w:val="99"/>
    <w:unhideWhenUsed/>
    <w:rsid w:val="007453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53EA"/>
  </w:style>
  <w:style w:type="character" w:styleId="Hyperlink">
    <w:name w:val="Hyperlink"/>
    <w:basedOn w:val="DefaultParagraphFont"/>
    <w:uiPriority w:val="99"/>
    <w:unhideWhenUsed/>
    <w:rsid w:val="00FF0101"/>
    <w:rPr>
      <w:color w:val="0000FF"/>
      <w:u w:val="single"/>
    </w:rPr>
  </w:style>
  <w:style w:type="table" w:styleId="TableGrid">
    <w:name w:val="Table Grid"/>
    <w:basedOn w:val="TableNormal"/>
    <w:uiPriority w:val="39"/>
    <w:rsid w:val="00FF01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ptions">
    <w:name w:val="captions"/>
    <w:basedOn w:val="DefaultParagraphFont"/>
    <w:rsid w:val="00580A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3.jpe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thermofisher.com/us/en/home/life-science/protein-biology/protein-biology-learning-center/protein-biology-resource-library/pierce-protein-methods/biotinylation.htm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thermofisher.com/us/en/home/life-science/antibodies/antibodies-learning-center/antibodies-resource-library/antibody-methods/comparison-antibody-igg-binding-proteins.html"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12</Pages>
  <Words>1521</Words>
  <Characters>8671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RRP</dc:creator>
  <cp:lastModifiedBy>Thomas J. Wenzel</cp:lastModifiedBy>
  <cp:revision>4</cp:revision>
  <dcterms:created xsi:type="dcterms:W3CDTF">2020-07-03T20:00:00Z</dcterms:created>
  <dcterms:modified xsi:type="dcterms:W3CDTF">2020-07-17T21:32:00Z</dcterms:modified>
</cp:coreProperties>
</file>