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908" w:rsidRPr="00833908" w:rsidRDefault="00833908" w:rsidP="00833908">
      <w:pPr>
        <w:rPr>
          <w:rFonts w:ascii="Arial" w:hAnsi="Arial"/>
          <w:b/>
          <w:sz w:val="22"/>
          <w:szCs w:val="22"/>
        </w:rPr>
      </w:pPr>
      <w:r w:rsidRPr="00833908">
        <w:rPr>
          <w:rFonts w:ascii="Arial" w:hAnsi="Arial"/>
          <w:b/>
          <w:sz w:val="22"/>
          <w:szCs w:val="22"/>
        </w:rPr>
        <w:t>Modeling Activity – Kathryn Riley, Swarthmore College</w:t>
      </w:r>
    </w:p>
    <w:p w:rsidR="00833908" w:rsidRDefault="00833908" w:rsidP="00833908">
      <w:pPr>
        <w:rPr>
          <w:rFonts w:ascii="Arial" w:hAnsi="Arial"/>
          <w:sz w:val="22"/>
          <w:szCs w:val="22"/>
        </w:rPr>
      </w:pPr>
    </w:p>
    <w:p w:rsidR="00833908" w:rsidRDefault="00833908" w:rsidP="00833908">
      <w:pPr>
        <w:rPr>
          <w:rFonts w:ascii="Arial" w:hAnsi="Arial"/>
          <w:sz w:val="22"/>
          <w:szCs w:val="22"/>
        </w:rPr>
      </w:pPr>
      <w:r w:rsidRPr="00833908">
        <w:rPr>
          <w:rFonts w:ascii="Arial" w:hAnsi="Arial"/>
          <w:b/>
          <w:sz w:val="22"/>
          <w:szCs w:val="22"/>
        </w:rPr>
        <w:t>Context:</w:t>
      </w:r>
      <w:r>
        <w:rPr>
          <w:rFonts w:ascii="Arial" w:hAnsi="Arial"/>
          <w:sz w:val="22"/>
          <w:szCs w:val="22"/>
        </w:rPr>
        <w:t xml:space="preserve"> I used this activity at the conclusion of our class discussion of GC, which occurred late in the semester. At this stage, students had already covered statistics, calibration, sampling, sample preparation, electrochemistry, spectroscopy, and the fundamental principles of chromatography. The overall purpose of this activity was to give students more guided practice in developing a top-to-bottom analytical method.</w:t>
      </w:r>
    </w:p>
    <w:p w:rsidR="00833908" w:rsidRDefault="00833908" w:rsidP="00833908">
      <w:pPr>
        <w:rPr>
          <w:rFonts w:ascii="Arial" w:hAnsi="Arial"/>
          <w:sz w:val="22"/>
          <w:szCs w:val="22"/>
        </w:rPr>
      </w:pPr>
    </w:p>
    <w:p w:rsidR="00833908" w:rsidRPr="00833908" w:rsidRDefault="00833908" w:rsidP="00833908">
      <w:pPr>
        <w:rPr>
          <w:rFonts w:ascii="Arial" w:hAnsi="Arial"/>
          <w:sz w:val="22"/>
          <w:szCs w:val="22"/>
        </w:rPr>
      </w:pPr>
      <w:r>
        <w:rPr>
          <w:rFonts w:ascii="Arial" w:hAnsi="Arial"/>
          <w:sz w:val="22"/>
          <w:szCs w:val="22"/>
        </w:rPr>
        <w:t xml:space="preserve">Learning Objectives for </w:t>
      </w:r>
      <w:r w:rsidRPr="00833908">
        <w:rPr>
          <w:rFonts w:ascii="Arial" w:hAnsi="Arial"/>
          <w:sz w:val="22"/>
          <w:szCs w:val="22"/>
        </w:rPr>
        <w:t>GC Separation Scenarios</w:t>
      </w:r>
      <w:r>
        <w:rPr>
          <w:rFonts w:ascii="Arial" w:hAnsi="Arial"/>
          <w:sz w:val="22"/>
          <w:szCs w:val="22"/>
        </w:rPr>
        <w:t>:</w:t>
      </w:r>
    </w:p>
    <w:p w:rsidR="00833908" w:rsidRDefault="00833908" w:rsidP="00833908">
      <w:pPr>
        <w:pStyle w:val="ListParagraph"/>
        <w:rPr>
          <w:rFonts w:ascii="Arial" w:hAnsi="Arial"/>
          <w:sz w:val="22"/>
          <w:szCs w:val="22"/>
        </w:rPr>
      </w:pPr>
    </w:p>
    <w:p w:rsidR="00833908" w:rsidRDefault="00833908" w:rsidP="00833908">
      <w:pPr>
        <w:pStyle w:val="ListParagraph"/>
        <w:numPr>
          <w:ilvl w:val="0"/>
          <w:numId w:val="1"/>
        </w:numPr>
        <w:rPr>
          <w:rFonts w:ascii="Arial" w:hAnsi="Arial"/>
          <w:sz w:val="22"/>
          <w:szCs w:val="22"/>
        </w:rPr>
      </w:pPr>
      <w:r>
        <w:rPr>
          <w:rFonts w:ascii="Arial" w:hAnsi="Arial"/>
          <w:sz w:val="22"/>
          <w:szCs w:val="22"/>
        </w:rPr>
        <w:t>Label an internal standards calibration curve.</w:t>
      </w:r>
    </w:p>
    <w:p w:rsidR="00833908" w:rsidRDefault="00833908" w:rsidP="00833908">
      <w:pPr>
        <w:pStyle w:val="ListParagraph"/>
        <w:numPr>
          <w:ilvl w:val="0"/>
          <w:numId w:val="1"/>
        </w:numPr>
        <w:rPr>
          <w:rFonts w:ascii="Arial" w:hAnsi="Arial"/>
          <w:sz w:val="22"/>
          <w:szCs w:val="22"/>
        </w:rPr>
      </w:pPr>
      <w:r>
        <w:rPr>
          <w:rFonts w:ascii="Arial" w:hAnsi="Arial"/>
          <w:sz w:val="22"/>
          <w:szCs w:val="22"/>
        </w:rPr>
        <w:t>List the requirements of an internal standard.</w:t>
      </w:r>
    </w:p>
    <w:p w:rsidR="00833908" w:rsidRDefault="00833908" w:rsidP="00833908">
      <w:pPr>
        <w:pStyle w:val="ListParagraph"/>
        <w:numPr>
          <w:ilvl w:val="0"/>
          <w:numId w:val="1"/>
        </w:numPr>
        <w:rPr>
          <w:rFonts w:ascii="Arial" w:hAnsi="Arial"/>
          <w:sz w:val="22"/>
          <w:szCs w:val="22"/>
        </w:rPr>
      </w:pPr>
      <w:r>
        <w:rPr>
          <w:rFonts w:ascii="Arial" w:hAnsi="Arial"/>
          <w:sz w:val="22"/>
          <w:szCs w:val="22"/>
        </w:rPr>
        <w:t>Predict the elution order of analytes.</w:t>
      </w:r>
    </w:p>
    <w:p w:rsidR="00833908" w:rsidRDefault="00833908" w:rsidP="00833908">
      <w:pPr>
        <w:pStyle w:val="ListParagraph"/>
        <w:numPr>
          <w:ilvl w:val="0"/>
          <w:numId w:val="1"/>
        </w:numPr>
        <w:rPr>
          <w:rFonts w:ascii="Arial" w:hAnsi="Arial"/>
          <w:sz w:val="22"/>
          <w:szCs w:val="22"/>
        </w:rPr>
      </w:pPr>
      <w:r>
        <w:rPr>
          <w:rFonts w:ascii="Arial" w:hAnsi="Arial"/>
          <w:sz w:val="22"/>
          <w:szCs w:val="22"/>
        </w:rPr>
        <w:t>Develop a sample preparation strategy.</w:t>
      </w:r>
    </w:p>
    <w:p w:rsidR="00833908" w:rsidRDefault="00833908" w:rsidP="00833908">
      <w:pPr>
        <w:pStyle w:val="ListParagraph"/>
        <w:numPr>
          <w:ilvl w:val="0"/>
          <w:numId w:val="1"/>
        </w:numPr>
        <w:rPr>
          <w:rFonts w:ascii="Arial" w:hAnsi="Arial"/>
          <w:sz w:val="22"/>
          <w:szCs w:val="22"/>
        </w:rPr>
      </w:pPr>
      <w:r>
        <w:rPr>
          <w:rFonts w:ascii="Arial" w:hAnsi="Arial"/>
          <w:sz w:val="22"/>
          <w:szCs w:val="22"/>
        </w:rPr>
        <w:t>Propose an internal standard and GC stationary phase for an analysis.</w:t>
      </w:r>
    </w:p>
    <w:p w:rsidR="00FC51ED" w:rsidRDefault="00833908" w:rsidP="00833908">
      <w:pPr>
        <w:pStyle w:val="ListParagraph"/>
        <w:numPr>
          <w:ilvl w:val="0"/>
          <w:numId w:val="1"/>
        </w:numPr>
        <w:rPr>
          <w:rFonts w:ascii="Arial" w:hAnsi="Arial"/>
          <w:sz w:val="22"/>
          <w:szCs w:val="22"/>
        </w:rPr>
      </w:pPr>
      <w:r w:rsidRPr="00833908">
        <w:rPr>
          <w:rFonts w:ascii="Arial" w:hAnsi="Arial"/>
          <w:sz w:val="22"/>
          <w:szCs w:val="22"/>
        </w:rPr>
        <w:t>Choose an appropriate detector for a GC analysis.</w:t>
      </w:r>
    </w:p>
    <w:p w:rsidR="004F681B" w:rsidRDefault="004F681B" w:rsidP="004F681B">
      <w:pPr>
        <w:rPr>
          <w:rFonts w:ascii="Arial" w:hAnsi="Arial"/>
          <w:sz w:val="22"/>
          <w:szCs w:val="22"/>
        </w:rPr>
      </w:pPr>
    </w:p>
    <w:p w:rsidR="004F681B" w:rsidRDefault="004F681B" w:rsidP="004F681B">
      <w:pPr>
        <w:rPr>
          <w:rFonts w:ascii="Arial" w:hAnsi="Arial"/>
          <w:sz w:val="22"/>
          <w:szCs w:val="22"/>
        </w:rPr>
      </w:pPr>
      <w:r>
        <w:rPr>
          <w:rFonts w:ascii="Arial" w:hAnsi="Arial"/>
          <w:sz w:val="22"/>
          <w:szCs w:val="22"/>
        </w:rPr>
        <w:t>The following two papers were used in designing this activity.</w:t>
      </w:r>
    </w:p>
    <w:p w:rsidR="004F681B" w:rsidRPr="004F681B" w:rsidRDefault="004F681B" w:rsidP="004F681B">
      <w:pPr>
        <w:rPr>
          <w:rFonts w:ascii="Arial" w:eastAsia="Times New Roman" w:hAnsi="Arial" w:cs="Arial"/>
          <w:color w:val="222222"/>
          <w:sz w:val="22"/>
          <w:szCs w:val="22"/>
        </w:rPr>
      </w:pPr>
    </w:p>
    <w:p w:rsidR="004F681B" w:rsidRPr="004F681B" w:rsidRDefault="004F681B" w:rsidP="004F681B">
      <w:pPr>
        <w:shd w:val="clear" w:color="auto" w:fill="FFFFFF"/>
        <w:rPr>
          <w:rFonts w:ascii="Arial" w:eastAsia="Times New Roman" w:hAnsi="Arial" w:cs="Arial"/>
          <w:color w:val="222222"/>
          <w:sz w:val="22"/>
          <w:szCs w:val="22"/>
        </w:rPr>
      </w:pPr>
      <w:r w:rsidRPr="004F681B">
        <w:rPr>
          <w:rFonts w:ascii="Arial" w:eastAsia="Times New Roman" w:hAnsi="Arial" w:cs="Arial"/>
          <w:color w:val="222222"/>
          <w:sz w:val="22"/>
          <w:szCs w:val="22"/>
        </w:rPr>
        <w:t>Scenario 1: </w:t>
      </w:r>
      <w:hyperlink r:id="rId5" w:tgtFrame="_blank" w:history="1">
        <w:r w:rsidRPr="004F681B">
          <w:rPr>
            <w:rFonts w:ascii="Arial" w:eastAsia="Times New Roman" w:hAnsi="Arial" w:cs="Arial"/>
            <w:color w:val="1155CC"/>
            <w:sz w:val="22"/>
            <w:szCs w:val="22"/>
            <w:u w:val="single"/>
          </w:rPr>
          <w:t>https://pubs.acs.org/doi/abs/10.1021/ed078p1231</w:t>
        </w:r>
      </w:hyperlink>
    </w:p>
    <w:p w:rsidR="004F681B" w:rsidRDefault="004F681B" w:rsidP="004F681B">
      <w:pPr>
        <w:shd w:val="clear" w:color="auto" w:fill="FFFFFF"/>
        <w:rPr>
          <w:rFonts w:ascii="Arial" w:eastAsia="Times New Roman" w:hAnsi="Arial" w:cs="Arial"/>
          <w:color w:val="222222"/>
          <w:sz w:val="22"/>
          <w:szCs w:val="22"/>
        </w:rPr>
      </w:pPr>
    </w:p>
    <w:p w:rsidR="004F681B" w:rsidRPr="004F681B" w:rsidRDefault="004F681B" w:rsidP="004F681B">
      <w:pPr>
        <w:shd w:val="clear" w:color="auto" w:fill="FFFFFF"/>
        <w:rPr>
          <w:rFonts w:ascii="Arial" w:eastAsia="Times New Roman" w:hAnsi="Arial" w:cs="Arial"/>
          <w:color w:val="222222"/>
          <w:sz w:val="22"/>
          <w:szCs w:val="22"/>
        </w:rPr>
      </w:pPr>
      <w:r w:rsidRPr="004F681B">
        <w:rPr>
          <w:rFonts w:ascii="Arial" w:eastAsia="Times New Roman" w:hAnsi="Arial" w:cs="Arial"/>
          <w:color w:val="222222"/>
          <w:sz w:val="22"/>
          <w:szCs w:val="22"/>
        </w:rPr>
        <w:t>Scenario 2: </w:t>
      </w:r>
      <w:hyperlink r:id="rId6" w:tgtFrame="_blank" w:history="1">
        <w:r w:rsidRPr="004F681B">
          <w:rPr>
            <w:rFonts w:ascii="Arial" w:eastAsia="Times New Roman" w:hAnsi="Arial" w:cs="Arial"/>
            <w:color w:val="1155CC"/>
            <w:sz w:val="22"/>
            <w:szCs w:val="22"/>
            <w:u w:val="single"/>
          </w:rPr>
          <w:t>https://link.springer.com/article/10.1007/s00216-018-01569-1?shared-article-renderer</w:t>
        </w:r>
      </w:hyperlink>
    </w:p>
    <w:p w:rsidR="00833908" w:rsidRDefault="00833908">
      <w:pPr>
        <w:rPr>
          <w:rFonts w:ascii="Arial" w:hAnsi="Arial"/>
          <w:sz w:val="22"/>
          <w:szCs w:val="22"/>
        </w:rPr>
      </w:pPr>
      <w:r>
        <w:rPr>
          <w:rFonts w:ascii="Arial" w:hAnsi="Arial"/>
          <w:sz w:val="22"/>
          <w:szCs w:val="22"/>
        </w:rPr>
        <w:br w:type="page"/>
      </w:r>
    </w:p>
    <w:p w:rsidR="00833908" w:rsidRPr="005A2FE9" w:rsidRDefault="00833908" w:rsidP="00833908">
      <w:pPr>
        <w:jc w:val="center"/>
        <w:rPr>
          <w:rFonts w:ascii="Arial" w:hAnsi="Arial" w:cs="Arial"/>
          <w:b/>
          <w:sz w:val="22"/>
          <w:szCs w:val="22"/>
        </w:rPr>
      </w:pPr>
      <w:r w:rsidRPr="005A2FE9">
        <w:rPr>
          <w:rFonts w:ascii="Arial" w:hAnsi="Arial" w:cs="Arial"/>
          <w:b/>
          <w:sz w:val="22"/>
          <w:szCs w:val="22"/>
        </w:rPr>
        <w:lastRenderedPageBreak/>
        <w:t>Gas Chromatography Separation Scenarios</w:t>
      </w:r>
    </w:p>
    <w:p w:rsidR="00833908" w:rsidRPr="005A2FE9" w:rsidRDefault="00833908" w:rsidP="00833908">
      <w:pPr>
        <w:jc w:val="center"/>
        <w:rPr>
          <w:rFonts w:ascii="Arial" w:hAnsi="Arial" w:cs="Arial"/>
          <w:b/>
          <w:sz w:val="22"/>
          <w:szCs w:val="22"/>
        </w:rPr>
      </w:pPr>
    </w:p>
    <w:p w:rsidR="00833908" w:rsidRPr="005A2FE9" w:rsidRDefault="00833908" w:rsidP="00833908">
      <w:pPr>
        <w:pStyle w:val="ListParagraph"/>
        <w:numPr>
          <w:ilvl w:val="0"/>
          <w:numId w:val="2"/>
        </w:numPr>
        <w:ind w:left="360"/>
        <w:rPr>
          <w:rFonts w:ascii="Arial" w:hAnsi="Arial" w:cs="Arial"/>
          <w:sz w:val="22"/>
          <w:szCs w:val="22"/>
        </w:rPr>
      </w:pPr>
      <w:r w:rsidRPr="005A2FE9">
        <w:rPr>
          <w:rFonts w:ascii="Arial" w:hAnsi="Arial" w:cs="Arial"/>
          <w:sz w:val="22"/>
          <w:szCs w:val="22"/>
        </w:rPr>
        <w:t>Chlorination processes are often used to disinfect drinking water and swimming pools. However, chlorine species can react with natural organic matter to produce by-products that can have toxic health effects. One class of these disinfection by-products is trihalomethanes (THMs). THMs form through reaction of chlorine with organic substances in the water, including organic molecules produced by humans (</w:t>
      </w:r>
      <w:r w:rsidRPr="005A2FE9">
        <w:rPr>
          <w:rFonts w:ascii="Arial" w:hAnsi="Arial" w:cs="Arial"/>
          <w:i/>
          <w:sz w:val="22"/>
          <w:szCs w:val="22"/>
        </w:rPr>
        <w:t>e.g.</w:t>
      </w:r>
      <w:r w:rsidRPr="005A2FE9">
        <w:rPr>
          <w:rFonts w:ascii="Arial" w:hAnsi="Arial" w:cs="Arial"/>
          <w:sz w:val="22"/>
          <w:szCs w:val="22"/>
        </w:rPr>
        <w:t xml:space="preserve">, urine, sweat, hair, flakes of skin). </w:t>
      </w:r>
    </w:p>
    <w:p w:rsidR="00833908" w:rsidRPr="005A2FE9" w:rsidRDefault="00833908" w:rsidP="00833908">
      <w:pPr>
        <w:pStyle w:val="ListParagraph"/>
        <w:ind w:left="360"/>
        <w:rPr>
          <w:rFonts w:ascii="Arial" w:hAnsi="Arial" w:cs="Arial"/>
          <w:sz w:val="22"/>
          <w:szCs w:val="22"/>
        </w:rPr>
      </w:pPr>
    </w:p>
    <w:p w:rsidR="00833908" w:rsidRPr="005A2FE9" w:rsidRDefault="00833908" w:rsidP="00833908">
      <w:pPr>
        <w:pStyle w:val="ListParagraph"/>
        <w:ind w:left="360"/>
        <w:rPr>
          <w:rFonts w:ascii="Arial" w:hAnsi="Arial" w:cs="Arial"/>
          <w:sz w:val="22"/>
          <w:szCs w:val="22"/>
        </w:rPr>
      </w:pPr>
      <w:r w:rsidRPr="005A2FE9">
        <w:rPr>
          <w:rFonts w:ascii="Arial" w:hAnsi="Arial" w:cs="Arial"/>
          <w:sz w:val="22"/>
          <w:szCs w:val="22"/>
        </w:rPr>
        <w:t>You are developing a GC-MS method to detect and quantify the presence of THMs in the Ware Pool water at Swarthmore College. The THMs you wish to analyze</w:t>
      </w:r>
      <w:r>
        <w:rPr>
          <w:rFonts w:ascii="Arial" w:hAnsi="Arial" w:cs="Arial"/>
          <w:sz w:val="22"/>
          <w:szCs w:val="22"/>
        </w:rPr>
        <w:t>,</w:t>
      </w:r>
      <w:r w:rsidRPr="005A2FE9">
        <w:rPr>
          <w:rFonts w:ascii="Arial" w:hAnsi="Arial" w:cs="Arial"/>
          <w:sz w:val="22"/>
          <w:szCs w:val="22"/>
        </w:rPr>
        <w:t xml:space="preserve"> as well as the internal standard (IS) you will use for </w:t>
      </w:r>
      <w:r>
        <w:rPr>
          <w:rFonts w:ascii="Arial" w:hAnsi="Arial" w:cs="Arial"/>
          <w:sz w:val="22"/>
          <w:szCs w:val="22"/>
        </w:rPr>
        <w:t>calibration,</w:t>
      </w:r>
      <w:r w:rsidRPr="005A2FE9">
        <w:rPr>
          <w:rFonts w:ascii="Arial" w:hAnsi="Arial" w:cs="Arial"/>
          <w:sz w:val="22"/>
          <w:szCs w:val="22"/>
        </w:rPr>
        <w:t xml:space="preserve"> are listed in the table below</w:t>
      </w:r>
      <w:r>
        <w:rPr>
          <w:rFonts w:ascii="Arial" w:hAnsi="Arial" w:cs="Arial"/>
          <w:sz w:val="22"/>
          <w:szCs w:val="22"/>
        </w:rPr>
        <w:t xml:space="preserve"> along with their</w:t>
      </w:r>
      <w:r w:rsidRPr="005A2FE9">
        <w:rPr>
          <w:rFonts w:ascii="Arial" w:hAnsi="Arial" w:cs="Arial"/>
          <w:sz w:val="22"/>
          <w:szCs w:val="22"/>
        </w:rPr>
        <w:t xml:space="preserve"> boiling points.</w:t>
      </w:r>
    </w:p>
    <w:p w:rsidR="00833908" w:rsidRPr="005A2FE9" w:rsidRDefault="00833908" w:rsidP="00833908">
      <w:pPr>
        <w:rPr>
          <w:rFonts w:ascii="Arial" w:hAnsi="Arial" w:cs="Arial"/>
          <w:sz w:val="22"/>
          <w:szCs w:val="22"/>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2340"/>
        <w:gridCol w:w="1170"/>
      </w:tblGrid>
      <w:tr w:rsidR="00833908" w:rsidRPr="005A2FE9" w:rsidTr="00086199">
        <w:trPr>
          <w:jc w:val="center"/>
        </w:trPr>
        <w:tc>
          <w:tcPr>
            <w:tcW w:w="2790" w:type="dxa"/>
            <w:tcBorders>
              <w:top w:val="single" w:sz="4" w:space="0" w:color="auto"/>
              <w:bottom w:val="single" w:sz="4" w:space="0" w:color="auto"/>
            </w:tcBorders>
            <w:vAlign w:val="center"/>
          </w:tcPr>
          <w:p w:rsidR="00833908" w:rsidRPr="005A2FE9" w:rsidRDefault="00833908" w:rsidP="00086199">
            <w:pPr>
              <w:jc w:val="center"/>
              <w:rPr>
                <w:rFonts w:ascii="Arial" w:hAnsi="Arial" w:cs="Arial"/>
                <w:b/>
                <w:sz w:val="22"/>
                <w:szCs w:val="22"/>
              </w:rPr>
            </w:pPr>
            <w:r w:rsidRPr="005A2FE9">
              <w:rPr>
                <w:rFonts w:ascii="Arial" w:hAnsi="Arial" w:cs="Arial"/>
                <w:b/>
                <w:sz w:val="22"/>
                <w:szCs w:val="22"/>
              </w:rPr>
              <w:t>THM</w:t>
            </w:r>
          </w:p>
        </w:tc>
        <w:tc>
          <w:tcPr>
            <w:tcW w:w="2340" w:type="dxa"/>
            <w:tcBorders>
              <w:top w:val="single" w:sz="4" w:space="0" w:color="auto"/>
              <w:bottom w:val="single" w:sz="4" w:space="0" w:color="auto"/>
            </w:tcBorders>
            <w:vAlign w:val="center"/>
          </w:tcPr>
          <w:p w:rsidR="00833908" w:rsidRPr="005A2FE9" w:rsidRDefault="00833908" w:rsidP="00086199">
            <w:pPr>
              <w:jc w:val="center"/>
              <w:rPr>
                <w:rFonts w:ascii="Arial" w:hAnsi="Arial" w:cs="Arial"/>
                <w:b/>
                <w:sz w:val="22"/>
                <w:szCs w:val="22"/>
              </w:rPr>
            </w:pPr>
            <w:r w:rsidRPr="005A2FE9">
              <w:rPr>
                <w:rFonts w:ascii="Arial" w:hAnsi="Arial" w:cs="Arial"/>
                <w:b/>
                <w:sz w:val="22"/>
                <w:szCs w:val="22"/>
              </w:rPr>
              <w:t>Chemical Formula</w:t>
            </w:r>
          </w:p>
        </w:tc>
        <w:tc>
          <w:tcPr>
            <w:tcW w:w="1170" w:type="dxa"/>
            <w:tcBorders>
              <w:top w:val="single" w:sz="4" w:space="0" w:color="auto"/>
              <w:bottom w:val="single" w:sz="4" w:space="0" w:color="auto"/>
            </w:tcBorders>
            <w:vAlign w:val="center"/>
          </w:tcPr>
          <w:p w:rsidR="00833908" w:rsidRPr="005A2FE9" w:rsidRDefault="00833908" w:rsidP="00086199">
            <w:pPr>
              <w:jc w:val="center"/>
              <w:rPr>
                <w:rFonts w:ascii="Arial" w:hAnsi="Arial" w:cs="Arial"/>
                <w:b/>
                <w:sz w:val="22"/>
                <w:szCs w:val="22"/>
              </w:rPr>
            </w:pPr>
            <w:proofErr w:type="spellStart"/>
            <w:r w:rsidRPr="005A2FE9">
              <w:rPr>
                <w:rFonts w:ascii="Arial" w:hAnsi="Arial" w:cs="Arial"/>
                <w:b/>
                <w:sz w:val="22"/>
                <w:szCs w:val="22"/>
              </w:rPr>
              <w:t>b.p.</w:t>
            </w:r>
            <w:proofErr w:type="spellEnd"/>
            <w:r w:rsidRPr="005A2FE9">
              <w:rPr>
                <w:rFonts w:ascii="Arial" w:hAnsi="Arial" w:cs="Arial"/>
                <w:b/>
                <w:sz w:val="22"/>
                <w:szCs w:val="22"/>
              </w:rPr>
              <w:t xml:space="preserve"> (</w:t>
            </w:r>
            <w:r w:rsidRPr="005A2FE9">
              <w:rPr>
                <w:rFonts w:ascii="Arial" w:hAnsi="Arial" w:cs="Arial"/>
                <w:b/>
                <w:sz w:val="22"/>
                <w:szCs w:val="22"/>
              </w:rPr>
              <w:sym w:font="Symbol" w:char="F0B0"/>
            </w:r>
            <w:r w:rsidRPr="005A2FE9">
              <w:rPr>
                <w:rFonts w:ascii="Arial" w:hAnsi="Arial" w:cs="Arial"/>
                <w:b/>
                <w:sz w:val="22"/>
                <w:szCs w:val="22"/>
              </w:rPr>
              <w:t>C)</w:t>
            </w:r>
          </w:p>
        </w:tc>
      </w:tr>
      <w:tr w:rsidR="00833908" w:rsidRPr="005A2FE9" w:rsidTr="00086199">
        <w:trPr>
          <w:jc w:val="center"/>
        </w:trPr>
        <w:tc>
          <w:tcPr>
            <w:tcW w:w="2790" w:type="dxa"/>
            <w:tcBorders>
              <w:top w:val="single" w:sz="4" w:space="0" w:color="auto"/>
            </w:tcBorders>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chloroform</w:t>
            </w:r>
          </w:p>
        </w:tc>
        <w:tc>
          <w:tcPr>
            <w:tcW w:w="2340" w:type="dxa"/>
            <w:tcBorders>
              <w:top w:val="single" w:sz="4" w:space="0" w:color="auto"/>
            </w:tcBorders>
          </w:tcPr>
          <w:p w:rsidR="00833908" w:rsidRPr="005A2FE9" w:rsidRDefault="00833908" w:rsidP="00086199">
            <w:pPr>
              <w:jc w:val="center"/>
              <w:rPr>
                <w:rFonts w:ascii="Arial" w:hAnsi="Arial" w:cs="Arial"/>
                <w:sz w:val="22"/>
                <w:szCs w:val="22"/>
                <w:vertAlign w:val="subscript"/>
              </w:rPr>
            </w:pPr>
            <w:r w:rsidRPr="005A2FE9">
              <w:rPr>
                <w:rFonts w:ascii="Arial" w:hAnsi="Arial" w:cs="Arial"/>
                <w:sz w:val="22"/>
                <w:szCs w:val="22"/>
              </w:rPr>
              <w:t>CHCl</w:t>
            </w:r>
            <w:r w:rsidRPr="005A2FE9">
              <w:rPr>
                <w:rFonts w:ascii="Arial" w:hAnsi="Arial" w:cs="Arial"/>
                <w:sz w:val="22"/>
                <w:szCs w:val="22"/>
                <w:vertAlign w:val="subscript"/>
              </w:rPr>
              <w:t>3</w:t>
            </w:r>
          </w:p>
        </w:tc>
        <w:tc>
          <w:tcPr>
            <w:tcW w:w="1170" w:type="dxa"/>
            <w:tcBorders>
              <w:top w:val="single" w:sz="4" w:space="0" w:color="auto"/>
            </w:tcBorders>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142</w:t>
            </w:r>
          </w:p>
        </w:tc>
      </w:tr>
      <w:tr w:rsidR="00833908" w:rsidRPr="005A2FE9" w:rsidTr="00086199">
        <w:trPr>
          <w:jc w:val="center"/>
        </w:trPr>
        <w:tc>
          <w:tcPr>
            <w:tcW w:w="2790" w:type="dxa"/>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bromoform</w:t>
            </w:r>
          </w:p>
        </w:tc>
        <w:tc>
          <w:tcPr>
            <w:tcW w:w="2340" w:type="dxa"/>
          </w:tcPr>
          <w:p w:rsidR="00833908" w:rsidRPr="005A2FE9" w:rsidRDefault="00833908" w:rsidP="00086199">
            <w:pPr>
              <w:jc w:val="center"/>
              <w:rPr>
                <w:rFonts w:ascii="Arial" w:hAnsi="Arial" w:cs="Arial"/>
                <w:sz w:val="22"/>
                <w:szCs w:val="22"/>
                <w:vertAlign w:val="subscript"/>
              </w:rPr>
            </w:pPr>
            <w:r w:rsidRPr="005A2FE9">
              <w:rPr>
                <w:rFonts w:ascii="Arial" w:hAnsi="Arial" w:cs="Arial"/>
                <w:sz w:val="22"/>
                <w:szCs w:val="22"/>
              </w:rPr>
              <w:t>CHBr</w:t>
            </w:r>
            <w:r w:rsidRPr="005A2FE9">
              <w:rPr>
                <w:rFonts w:ascii="Arial" w:hAnsi="Arial" w:cs="Arial"/>
                <w:sz w:val="22"/>
                <w:szCs w:val="22"/>
                <w:vertAlign w:val="subscript"/>
              </w:rPr>
              <w:t>3</w:t>
            </w:r>
          </w:p>
        </w:tc>
        <w:tc>
          <w:tcPr>
            <w:tcW w:w="1170" w:type="dxa"/>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300</w:t>
            </w:r>
          </w:p>
        </w:tc>
      </w:tr>
      <w:tr w:rsidR="00833908" w:rsidRPr="005A2FE9" w:rsidTr="00086199">
        <w:trPr>
          <w:jc w:val="center"/>
        </w:trPr>
        <w:tc>
          <w:tcPr>
            <w:tcW w:w="2790" w:type="dxa"/>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bromodichloromethane</w:t>
            </w:r>
          </w:p>
        </w:tc>
        <w:tc>
          <w:tcPr>
            <w:tcW w:w="2340" w:type="dxa"/>
          </w:tcPr>
          <w:p w:rsidR="00833908" w:rsidRPr="005A2FE9" w:rsidRDefault="00833908" w:rsidP="00086199">
            <w:pPr>
              <w:jc w:val="center"/>
              <w:rPr>
                <w:rFonts w:ascii="Arial" w:hAnsi="Arial" w:cs="Arial"/>
                <w:sz w:val="22"/>
                <w:szCs w:val="22"/>
              </w:rPr>
            </w:pPr>
            <w:r w:rsidRPr="005A2FE9">
              <w:rPr>
                <w:rFonts w:ascii="Arial" w:hAnsi="Arial" w:cs="Arial"/>
                <w:sz w:val="22"/>
                <w:szCs w:val="22"/>
              </w:rPr>
              <w:t>CHBrCl</w:t>
            </w:r>
            <w:r w:rsidRPr="005A2FE9">
              <w:rPr>
                <w:rFonts w:ascii="Arial" w:hAnsi="Arial" w:cs="Arial"/>
                <w:sz w:val="22"/>
                <w:szCs w:val="22"/>
                <w:vertAlign w:val="subscript"/>
              </w:rPr>
              <w:t>2</w:t>
            </w:r>
          </w:p>
        </w:tc>
        <w:tc>
          <w:tcPr>
            <w:tcW w:w="1170" w:type="dxa"/>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194</w:t>
            </w:r>
          </w:p>
        </w:tc>
      </w:tr>
      <w:tr w:rsidR="00833908" w:rsidRPr="005A2FE9" w:rsidTr="00086199">
        <w:trPr>
          <w:jc w:val="center"/>
        </w:trPr>
        <w:tc>
          <w:tcPr>
            <w:tcW w:w="2790" w:type="dxa"/>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dibromochloromethane</w:t>
            </w:r>
          </w:p>
        </w:tc>
        <w:tc>
          <w:tcPr>
            <w:tcW w:w="2340" w:type="dxa"/>
          </w:tcPr>
          <w:p w:rsidR="00833908" w:rsidRPr="005A2FE9" w:rsidRDefault="00833908" w:rsidP="00086199">
            <w:pPr>
              <w:jc w:val="center"/>
              <w:rPr>
                <w:rFonts w:ascii="Arial" w:hAnsi="Arial" w:cs="Arial"/>
                <w:sz w:val="22"/>
                <w:szCs w:val="22"/>
              </w:rPr>
            </w:pPr>
            <w:r w:rsidRPr="005A2FE9">
              <w:rPr>
                <w:rFonts w:ascii="Arial" w:hAnsi="Arial" w:cs="Arial"/>
                <w:sz w:val="22"/>
                <w:szCs w:val="22"/>
              </w:rPr>
              <w:t>CHBr</w:t>
            </w:r>
            <w:r w:rsidRPr="005A2FE9">
              <w:rPr>
                <w:rFonts w:ascii="Arial" w:hAnsi="Arial" w:cs="Arial"/>
                <w:sz w:val="22"/>
                <w:szCs w:val="22"/>
                <w:vertAlign w:val="subscript"/>
              </w:rPr>
              <w:t>2</w:t>
            </w:r>
            <w:r w:rsidRPr="005A2FE9">
              <w:rPr>
                <w:rFonts w:ascii="Arial" w:hAnsi="Arial" w:cs="Arial"/>
                <w:sz w:val="22"/>
                <w:szCs w:val="22"/>
              </w:rPr>
              <w:t>Cl</w:t>
            </w:r>
          </w:p>
        </w:tc>
        <w:tc>
          <w:tcPr>
            <w:tcW w:w="1170" w:type="dxa"/>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120</w:t>
            </w:r>
          </w:p>
        </w:tc>
      </w:tr>
      <w:tr w:rsidR="00833908" w:rsidRPr="005A2FE9" w:rsidTr="00086199">
        <w:trPr>
          <w:jc w:val="center"/>
        </w:trPr>
        <w:tc>
          <w:tcPr>
            <w:tcW w:w="2790" w:type="dxa"/>
            <w:vAlign w:val="center"/>
          </w:tcPr>
          <w:p w:rsidR="00833908" w:rsidRPr="005A2FE9" w:rsidRDefault="00833908" w:rsidP="00086199">
            <w:pPr>
              <w:jc w:val="center"/>
              <w:rPr>
                <w:rFonts w:ascii="Arial" w:hAnsi="Arial" w:cs="Arial"/>
                <w:sz w:val="22"/>
                <w:szCs w:val="22"/>
              </w:rPr>
            </w:pPr>
            <w:r w:rsidRPr="005A2FE9">
              <w:rPr>
                <w:rFonts w:ascii="Arial" w:hAnsi="Arial" w:cs="Arial"/>
                <w:b/>
                <w:sz w:val="22"/>
                <w:szCs w:val="22"/>
              </w:rPr>
              <w:t>IS:</w:t>
            </w:r>
            <w:r w:rsidRPr="005A2FE9">
              <w:rPr>
                <w:rFonts w:ascii="Arial" w:hAnsi="Arial" w:cs="Arial"/>
                <w:sz w:val="22"/>
                <w:szCs w:val="22"/>
              </w:rPr>
              <w:t xml:space="preserve"> 1,2,3-trichloropropane</w:t>
            </w:r>
          </w:p>
        </w:tc>
        <w:tc>
          <w:tcPr>
            <w:tcW w:w="2340" w:type="dxa"/>
          </w:tcPr>
          <w:p w:rsidR="00833908" w:rsidRPr="005A2FE9" w:rsidRDefault="00833908" w:rsidP="00086199">
            <w:pPr>
              <w:jc w:val="center"/>
              <w:rPr>
                <w:rFonts w:ascii="Arial" w:hAnsi="Arial" w:cs="Arial"/>
                <w:sz w:val="22"/>
                <w:szCs w:val="22"/>
              </w:rPr>
            </w:pPr>
            <w:r w:rsidRPr="005A2FE9">
              <w:rPr>
                <w:rFonts w:ascii="Arial" w:hAnsi="Arial" w:cs="Arial"/>
                <w:sz w:val="22"/>
                <w:szCs w:val="22"/>
              </w:rPr>
              <w:t>C</w:t>
            </w:r>
            <w:r w:rsidRPr="005A2FE9">
              <w:rPr>
                <w:rFonts w:ascii="Arial" w:hAnsi="Arial" w:cs="Arial"/>
                <w:sz w:val="22"/>
                <w:szCs w:val="22"/>
                <w:vertAlign w:val="subscript"/>
              </w:rPr>
              <w:t>2</w:t>
            </w:r>
            <w:r w:rsidRPr="005A2FE9">
              <w:rPr>
                <w:rFonts w:ascii="Arial" w:hAnsi="Arial" w:cs="Arial"/>
                <w:sz w:val="22"/>
                <w:szCs w:val="22"/>
              </w:rPr>
              <w:t>H</w:t>
            </w:r>
            <w:r w:rsidRPr="005A2FE9">
              <w:rPr>
                <w:rFonts w:ascii="Arial" w:hAnsi="Arial" w:cs="Arial"/>
                <w:sz w:val="22"/>
                <w:szCs w:val="22"/>
                <w:vertAlign w:val="subscript"/>
              </w:rPr>
              <w:t>5</w:t>
            </w:r>
            <w:r w:rsidRPr="005A2FE9">
              <w:rPr>
                <w:rFonts w:ascii="Arial" w:hAnsi="Arial" w:cs="Arial"/>
                <w:sz w:val="22"/>
                <w:szCs w:val="22"/>
              </w:rPr>
              <w:t>Cl</w:t>
            </w:r>
            <w:r w:rsidRPr="005A2FE9">
              <w:rPr>
                <w:rFonts w:ascii="Arial" w:hAnsi="Arial" w:cs="Arial"/>
                <w:sz w:val="22"/>
                <w:szCs w:val="22"/>
                <w:vertAlign w:val="subscript"/>
              </w:rPr>
              <w:t>3</w:t>
            </w:r>
          </w:p>
        </w:tc>
        <w:tc>
          <w:tcPr>
            <w:tcW w:w="1170" w:type="dxa"/>
            <w:vAlign w:val="center"/>
          </w:tcPr>
          <w:p w:rsidR="00833908" w:rsidRPr="005A2FE9" w:rsidRDefault="00833908" w:rsidP="00086199">
            <w:pPr>
              <w:jc w:val="center"/>
              <w:rPr>
                <w:rFonts w:ascii="Arial" w:hAnsi="Arial" w:cs="Arial"/>
                <w:sz w:val="22"/>
                <w:szCs w:val="22"/>
              </w:rPr>
            </w:pPr>
            <w:r w:rsidRPr="005A2FE9">
              <w:rPr>
                <w:rFonts w:ascii="Arial" w:hAnsi="Arial" w:cs="Arial"/>
                <w:sz w:val="22"/>
                <w:szCs w:val="22"/>
              </w:rPr>
              <w:t>313</w:t>
            </w:r>
          </w:p>
        </w:tc>
      </w:tr>
    </w:tbl>
    <w:p w:rsidR="00833908" w:rsidRPr="005A2FE9" w:rsidRDefault="00833908" w:rsidP="00833908">
      <w:pPr>
        <w:rPr>
          <w:rFonts w:ascii="Arial" w:hAnsi="Arial" w:cs="Arial"/>
          <w:sz w:val="22"/>
          <w:szCs w:val="22"/>
        </w:rPr>
      </w:pPr>
    </w:p>
    <w:p w:rsidR="00833908" w:rsidRPr="005A2FE9" w:rsidRDefault="00833908" w:rsidP="00833908">
      <w:pPr>
        <w:pStyle w:val="ListParagraph"/>
        <w:numPr>
          <w:ilvl w:val="1"/>
          <w:numId w:val="2"/>
        </w:numPr>
        <w:ind w:left="720"/>
        <w:rPr>
          <w:rFonts w:ascii="Arial" w:hAnsi="Arial" w:cs="Arial"/>
          <w:sz w:val="22"/>
          <w:szCs w:val="22"/>
        </w:rPr>
      </w:pPr>
      <w:r w:rsidRPr="005A2FE9">
        <w:rPr>
          <w:rFonts w:ascii="Arial" w:hAnsi="Arial" w:cs="Arial"/>
          <w:sz w:val="22"/>
          <w:szCs w:val="22"/>
        </w:rPr>
        <w:t>Below is a plot of your internal standards calibration curve. Label the axes and annotate the plot to show how you will determine the concentration of the THMs in pool water.</w:t>
      </w:r>
    </w:p>
    <w:p w:rsidR="00833908" w:rsidRPr="005A2FE9" w:rsidRDefault="00833908" w:rsidP="00833908">
      <w:pPr>
        <w:rPr>
          <w:rFonts w:ascii="Arial" w:hAnsi="Arial" w:cs="Arial"/>
          <w:sz w:val="22"/>
          <w:szCs w:val="22"/>
        </w:rPr>
      </w:pPr>
      <w:r w:rsidRPr="005A2FE9">
        <w:rPr>
          <w:noProof/>
          <w:sz w:val="22"/>
          <w:szCs w:val="22"/>
        </w:rPr>
        <w:drawing>
          <wp:anchor distT="0" distB="0" distL="114300" distR="114300" simplePos="0" relativeHeight="251660288" behindDoc="0" locked="0" layoutInCell="1" allowOverlap="1" wp14:anchorId="79C4DEFB" wp14:editId="10AB3A2C">
            <wp:simplePos x="0" y="0"/>
            <wp:positionH relativeFrom="margin">
              <wp:align>center</wp:align>
            </wp:positionH>
            <wp:positionV relativeFrom="paragraph">
              <wp:posOffset>171336</wp:posOffset>
            </wp:positionV>
            <wp:extent cx="4407535" cy="2749550"/>
            <wp:effectExtent l="0" t="0" r="0" b="635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407535" cy="2749550"/>
                    </a:xfrm>
                    <a:prstGeom prst="rect">
                      <a:avLst/>
                    </a:prstGeom>
                  </pic:spPr>
                </pic:pic>
              </a:graphicData>
            </a:graphic>
            <wp14:sizeRelH relativeFrom="page">
              <wp14:pctWidth>0</wp14:pctWidth>
            </wp14:sizeRelH>
            <wp14:sizeRelV relativeFrom="page">
              <wp14:pctHeight>0</wp14:pctHeight>
            </wp14:sizeRelV>
          </wp:anchor>
        </w:drawing>
      </w:r>
    </w:p>
    <w:p w:rsidR="00833908" w:rsidRDefault="00833908" w:rsidP="00833908">
      <w:pPr>
        <w:rPr>
          <w:rFonts w:ascii="Arial" w:hAnsi="Arial" w:cs="Arial"/>
          <w:sz w:val="22"/>
          <w:szCs w:val="22"/>
        </w:rPr>
      </w:pPr>
    </w:p>
    <w:p w:rsidR="00833908" w:rsidRDefault="00833908" w:rsidP="00833908">
      <w:pPr>
        <w:rPr>
          <w:rFonts w:ascii="Arial" w:hAnsi="Arial" w:cs="Arial"/>
          <w:sz w:val="22"/>
          <w:szCs w:val="22"/>
        </w:rPr>
      </w:pPr>
    </w:p>
    <w:p w:rsidR="00833908"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pStyle w:val="ListParagraph"/>
        <w:numPr>
          <w:ilvl w:val="1"/>
          <w:numId w:val="2"/>
        </w:numPr>
        <w:ind w:left="720"/>
        <w:rPr>
          <w:rFonts w:ascii="Arial" w:hAnsi="Arial" w:cs="Arial"/>
          <w:sz w:val="22"/>
          <w:szCs w:val="22"/>
        </w:rPr>
      </w:pPr>
      <w:r w:rsidRPr="005A2FE9">
        <w:rPr>
          <w:rFonts w:ascii="Arial" w:hAnsi="Arial" w:cs="Arial"/>
          <w:sz w:val="22"/>
          <w:szCs w:val="22"/>
        </w:rPr>
        <w:t>For which analyte does your analyte have the highest sensitivity? The lowest?</w:t>
      </w: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pStyle w:val="ListParagraph"/>
        <w:numPr>
          <w:ilvl w:val="1"/>
          <w:numId w:val="2"/>
        </w:numPr>
        <w:ind w:left="720"/>
        <w:rPr>
          <w:rFonts w:ascii="Arial" w:hAnsi="Arial" w:cs="Arial"/>
          <w:sz w:val="22"/>
          <w:szCs w:val="22"/>
        </w:rPr>
      </w:pPr>
      <w:r w:rsidRPr="005A2FE9">
        <w:rPr>
          <w:rFonts w:ascii="Arial" w:hAnsi="Arial" w:cs="Arial"/>
          <w:sz w:val="22"/>
          <w:szCs w:val="22"/>
        </w:rPr>
        <w:lastRenderedPageBreak/>
        <w:t>Gas chromatography samples are typically prepared in organic solvents that will easily evaporate in the sample injection/vaporization chamber. However, your samples are in aqueous solution. List two ways that you can prepare your pool water samples. Then discuss how you would prepare an appropriate blank and your calibration standards.</w:t>
      </w: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pStyle w:val="ListParagraph"/>
        <w:numPr>
          <w:ilvl w:val="1"/>
          <w:numId w:val="2"/>
        </w:numPr>
        <w:ind w:left="720"/>
        <w:rPr>
          <w:rFonts w:ascii="Arial" w:hAnsi="Arial" w:cs="Arial"/>
          <w:sz w:val="22"/>
          <w:szCs w:val="22"/>
        </w:rPr>
      </w:pPr>
      <w:r w:rsidRPr="005A2FE9">
        <w:rPr>
          <w:rFonts w:ascii="Arial" w:hAnsi="Arial" w:cs="Arial"/>
          <w:noProof/>
          <w:sz w:val="22"/>
          <w:szCs w:val="22"/>
        </w:rPr>
        <w:drawing>
          <wp:anchor distT="0" distB="0" distL="114300" distR="114300" simplePos="0" relativeHeight="251659264" behindDoc="0" locked="0" layoutInCell="1" allowOverlap="1" wp14:anchorId="4F82AC15" wp14:editId="631088BA">
            <wp:simplePos x="0" y="0"/>
            <wp:positionH relativeFrom="margin">
              <wp:posOffset>1349375</wp:posOffset>
            </wp:positionH>
            <wp:positionV relativeFrom="paragraph">
              <wp:posOffset>635749</wp:posOffset>
            </wp:positionV>
            <wp:extent cx="3244215" cy="254317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4-11 at 3.04.56 PM.png"/>
                    <pic:cNvPicPr/>
                  </pic:nvPicPr>
                  <pic:blipFill>
                    <a:blip r:embed="rId8">
                      <a:extLst>
                        <a:ext uri="{28A0092B-C50C-407E-A947-70E740481C1C}">
                          <a14:useLocalDpi xmlns:a14="http://schemas.microsoft.com/office/drawing/2010/main" val="0"/>
                        </a:ext>
                      </a:extLst>
                    </a:blip>
                    <a:stretch>
                      <a:fillRect/>
                    </a:stretch>
                  </pic:blipFill>
                  <pic:spPr>
                    <a:xfrm>
                      <a:off x="0" y="0"/>
                      <a:ext cx="3244215" cy="2543175"/>
                    </a:xfrm>
                    <a:prstGeom prst="rect">
                      <a:avLst/>
                    </a:prstGeom>
                  </pic:spPr>
                </pic:pic>
              </a:graphicData>
            </a:graphic>
            <wp14:sizeRelH relativeFrom="page">
              <wp14:pctWidth>0</wp14:pctWidth>
            </wp14:sizeRelH>
            <wp14:sizeRelV relativeFrom="page">
              <wp14:pctHeight>0</wp14:pctHeight>
            </wp14:sizeRelV>
          </wp:anchor>
        </w:drawing>
      </w:r>
      <w:r w:rsidRPr="005A2FE9">
        <w:rPr>
          <w:rFonts w:ascii="Arial" w:hAnsi="Arial" w:cs="Arial"/>
          <w:sz w:val="22"/>
          <w:szCs w:val="22"/>
        </w:rPr>
        <w:t>Assuming the liquid stationary phase you are using for the separation is a good match for all of the compounds you wish to analyze, what is the predicted elution order? Label the peaks on the chromatogram.</w:t>
      </w:r>
    </w:p>
    <w:p w:rsidR="00833908" w:rsidRPr="005A2FE9" w:rsidRDefault="00833908" w:rsidP="00833908">
      <w:pPr>
        <w:pStyle w:val="ListParagraph"/>
        <w:rPr>
          <w:rFonts w:ascii="Arial" w:hAnsi="Arial" w:cs="Arial"/>
          <w:sz w:val="22"/>
          <w:szCs w:val="22"/>
        </w:rPr>
      </w:pPr>
    </w:p>
    <w:p w:rsidR="00833908" w:rsidRPr="005A2FE9" w:rsidRDefault="00833908" w:rsidP="00833908">
      <w:pPr>
        <w:pStyle w:val="ListParagraph"/>
        <w:numPr>
          <w:ilvl w:val="1"/>
          <w:numId w:val="2"/>
        </w:numPr>
        <w:ind w:left="720"/>
        <w:rPr>
          <w:rFonts w:ascii="Arial" w:hAnsi="Arial" w:cs="Arial"/>
          <w:sz w:val="22"/>
          <w:szCs w:val="22"/>
        </w:rPr>
      </w:pPr>
      <w:r w:rsidRPr="005A2FE9">
        <w:rPr>
          <w:rFonts w:ascii="Arial" w:hAnsi="Arial" w:cs="Arial"/>
          <w:sz w:val="22"/>
          <w:szCs w:val="22"/>
        </w:rPr>
        <w:t>List three ways you could confirm these peak identities.</w:t>
      </w: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pStyle w:val="ListParagraph"/>
        <w:numPr>
          <w:ilvl w:val="1"/>
          <w:numId w:val="2"/>
        </w:numPr>
        <w:ind w:left="720"/>
        <w:rPr>
          <w:rFonts w:ascii="Arial" w:hAnsi="Arial" w:cs="Arial"/>
          <w:sz w:val="22"/>
          <w:szCs w:val="22"/>
        </w:rPr>
      </w:pPr>
      <w:r w:rsidRPr="005A2FE9">
        <w:rPr>
          <w:rFonts w:ascii="Arial" w:hAnsi="Arial" w:cs="Arial"/>
          <w:sz w:val="22"/>
          <w:szCs w:val="22"/>
        </w:rPr>
        <w:t>Suggest an alternative detection strategy that would be sensitive for THMs.</w:t>
      </w: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p>
    <w:p w:rsidR="00833908" w:rsidRPr="005A2FE9" w:rsidRDefault="00833908" w:rsidP="00833908">
      <w:pPr>
        <w:rPr>
          <w:rFonts w:ascii="Arial" w:hAnsi="Arial" w:cs="Arial"/>
          <w:sz w:val="22"/>
          <w:szCs w:val="22"/>
        </w:rPr>
      </w:pPr>
      <w:r w:rsidRPr="005A2FE9">
        <w:rPr>
          <w:rFonts w:ascii="Arial" w:hAnsi="Arial" w:cs="Arial"/>
          <w:sz w:val="22"/>
          <w:szCs w:val="22"/>
        </w:rPr>
        <w:br w:type="page"/>
      </w:r>
    </w:p>
    <w:p w:rsidR="00833908" w:rsidRPr="005A2FE9" w:rsidRDefault="00833908" w:rsidP="00833908">
      <w:pPr>
        <w:pStyle w:val="ListParagraph"/>
        <w:numPr>
          <w:ilvl w:val="0"/>
          <w:numId w:val="2"/>
        </w:numPr>
        <w:ind w:left="360"/>
        <w:rPr>
          <w:rFonts w:ascii="Arial" w:eastAsia="Times New Roman" w:hAnsi="Arial" w:cs="Arial"/>
          <w:sz w:val="22"/>
          <w:szCs w:val="22"/>
        </w:rPr>
      </w:pPr>
      <w:r w:rsidRPr="005A2FE9">
        <w:rPr>
          <w:rFonts w:ascii="Arial" w:hAnsi="Arial" w:cs="Arial"/>
          <w:color w:val="131413"/>
          <w:sz w:val="22"/>
          <w:szCs w:val="22"/>
        </w:rPr>
        <w:lastRenderedPageBreak/>
        <w:t xml:space="preserve">Polycyclic aromatic hydrocarbons (PAHs) are a large component of smoke and result from the incomplete combustion of organic materials. Some PAHs are carcinogenic and have been linked to human cancers. For the general public, exposure to PAHs often results from air pollution or tobacco smoke, but for firefighters, exposure to PAHs is an occupational hazard. In humans, PAHs </w:t>
      </w:r>
      <w:r>
        <w:rPr>
          <w:rFonts w:ascii="Arial" w:hAnsi="Arial" w:cs="Arial"/>
          <w:color w:val="131413"/>
          <w:sz w:val="22"/>
          <w:szCs w:val="22"/>
        </w:rPr>
        <w:t>undergo biotransformation</w:t>
      </w:r>
      <w:r w:rsidRPr="005A2FE9">
        <w:rPr>
          <w:rFonts w:ascii="Arial" w:hAnsi="Arial" w:cs="Arial"/>
          <w:color w:val="131413"/>
          <w:sz w:val="22"/>
          <w:szCs w:val="22"/>
        </w:rPr>
        <w:t xml:space="preserve"> and </w:t>
      </w:r>
      <w:r>
        <w:rPr>
          <w:rFonts w:ascii="Arial" w:hAnsi="Arial" w:cs="Arial"/>
          <w:color w:val="131413"/>
          <w:sz w:val="22"/>
          <w:szCs w:val="22"/>
        </w:rPr>
        <w:t xml:space="preserve">are </w:t>
      </w:r>
      <w:r w:rsidRPr="005A2FE9">
        <w:rPr>
          <w:rFonts w:ascii="Arial" w:hAnsi="Arial" w:cs="Arial"/>
          <w:color w:val="131413"/>
          <w:sz w:val="22"/>
          <w:szCs w:val="22"/>
        </w:rPr>
        <w:t>excreted in urine as hydroxylated metabolites. Urinary 1-hydroxypyrene is widely used for biomonitoring human exposures to PAHs, but the determination of other metabolites (like those in the table below) can provide a more accurate assessment of total chemical exposures.</w:t>
      </w:r>
    </w:p>
    <w:p w:rsidR="00833908" w:rsidRPr="005A2FE9" w:rsidRDefault="00833908" w:rsidP="00833908">
      <w:pPr>
        <w:pStyle w:val="ListParagraph"/>
        <w:ind w:left="360"/>
        <w:rPr>
          <w:rFonts w:ascii="Arial" w:hAnsi="Arial" w:cs="Arial"/>
          <w:color w:val="131413"/>
          <w:sz w:val="22"/>
          <w:szCs w:val="22"/>
        </w:rPr>
      </w:pPr>
    </w:p>
    <w:tbl>
      <w:tblPr>
        <w:tblStyle w:val="TableGrid"/>
        <w:tblW w:w="0" w:type="auto"/>
        <w:tblInd w:w="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7"/>
        <w:gridCol w:w="3020"/>
        <w:gridCol w:w="2923"/>
      </w:tblGrid>
      <w:tr w:rsidR="00833908" w:rsidRPr="005A2FE9" w:rsidTr="00086199">
        <w:trPr>
          <w:trHeight w:val="413"/>
        </w:trPr>
        <w:tc>
          <w:tcPr>
            <w:tcW w:w="3116" w:type="dxa"/>
            <w:tcBorders>
              <w:top w:val="single" w:sz="4" w:space="0" w:color="auto"/>
              <w:bottom w:val="single" w:sz="4" w:space="0" w:color="auto"/>
            </w:tcBorders>
            <w:vAlign w:val="center"/>
          </w:tcPr>
          <w:p w:rsidR="00833908" w:rsidRPr="005A2FE9" w:rsidRDefault="00833908" w:rsidP="00086199">
            <w:pPr>
              <w:pStyle w:val="ListParagraph"/>
              <w:ind w:left="0"/>
              <w:jc w:val="center"/>
              <w:rPr>
                <w:rFonts w:ascii="Arial" w:hAnsi="Arial" w:cs="Arial"/>
                <w:b/>
                <w:color w:val="131413"/>
                <w:sz w:val="22"/>
                <w:szCs w:val="22"/>
              </w:rPr>
            </w:pPr>
            <w:r w:rsidRPr="005A2FE9">
              <w:rPr>
                <w:rFonts w:ascii="Arial" w:hAnsi="Arial" w:cs="Arial"/>
                <w:b/>
                <w:color w:val="131413"/>
                <w:sz w:val="22"/>
                <w:szCs w:val="22"/>
              </w:rPr>
              <w:t>Chemical Name</w:t>
            </w:r>
          </w:p>
        </w:tc>
        <w:tc>
          <w:tcPr>
            <w:tcW w:w="3117" w:type="dxa"/>
            <w:tcBorders>
              <w:top w:val="single" w:sz="4" w:space="0" w:color="auto"/>
              <w:bottom w:val="single" w:sz="4" w:space="0" w:color="auto"/>
            </w:tcBorders>
            <w:vAlign w:val="center"/>
          </w:tcPr>
          <w:p w:rsidR="00833908" w:rsidRPr="005A2FE9" w:rsidRDefault="00833908" w:rsidP="00086199">
            <w:pPr>
              <w:pStyle w:val="ListParagraph"/>
              <w:ind w:left="0"/>
              <w:jc w:val="center"/>
              <w:rPr>
                <w:rFonts w:ascii="Arial" w:hAnsi="Arial" w:cs="Arial"/>
                <w:b/>
                <w:color w:val="131413"/>
                <w:sz w:val="22"/>
                <w:szCs w:val="22"/>
              </w:rPr>
            </w:pPr>
            <w:r w:rsidRPr="005A2FE9">
              <w:rPr>
                <w:rFonts w:ascii="Arial" w:hAnsi="Arial" w:cs="Arial"/>
                <w:b/>
                <w:color w:val="131413"/>
                <w:sz w:val="22"/>
                <w:szCs w:val="22"/>
              </w:rPr>
              <w:t>Chemical Structure</w:t>
            </w:r>
          </w:p>
        </w:tc>
        <w:tc>
          <w:tcPr>
            <w:tcW w:w="3117" w:type="dxa"/>
            <w:tcBorders>
              <w:top w:val="single" w:sz="4" w:space="0" w:color="auto"/>
              <w:bottom w:val="single" w:sz="4" w:space="0" w:color="auto"/>
            </w:tcBorders>
            <w:vAlign w:val="center"/>
          </w:tcPr>
          <w:p w:rsidR="00833908" w:rsidRPr="005A2FE9" w:rsidRDefault="00833908" w:rsidP="00086199">
            <w:pPr>
              <w:pStyle w:val="ListParagraph"/>
              <w:ind w:left="0"/>
              <w:jc w:val="center"/>
              <w:rPr>
                <w:rFonts w:ascii="Arial" w:hAnsi="Arial" w:cs="Arial"/>
                <w:b/>
                <w:color w:val="131413"/>
                <w:sz w:val="22"/>
                <w:szCs w:val="22"/>
              </w:rPr>
            </w:pPr>
            <w:proofErr w:type="spellStart"/>
            <w:r w:rsidRPr="005A2FE9">
              <w:rPr>
                <w:rFonts w:ascii="Arial" w:hAnsi="Arial" w:cs="Arial"/>
                <w:b/>
                <w:color w:val="131413"/>
                <w:sz w:val="22"/>
                <w:szCs w:val="22"/>
              </w:rPr>
              <w:t>b.p.</w:t>
            </w:r>
            <w:proofErr w:type="spellEnd"/>
            <w:r w:rsidRPr="005A2FE9">
              <w:rPr>
                <w:rFonts w:ascii="Arial" w:hAnsi="Arial" w:cs="Arial"/>
                <w:b/>
                <w:color w:val="131413"/>
                <w:sz w:val="22"/>
                <w:szCs w:val="22"/>
              </w:rPr>
              <w:t xml:space="preserve"> (</w:t>
            </w:r>
            <w:r w:rsidRPr="005A2FE9">
              <w:rPr>
                <w:rFonts w:ascii="Arial" w:hAnsi="Arial" w:cs="Arial"/>
                <w:b/>
                <w:color w:val="131413"/>
                <w:sz w:val="22"/>
                <w:szCs w:val="22"/>
              </w:rPr>
              <w:sym w:font="Symbol" w:char="F0B0"/>
            </w:r>
            <w:r w:rsidRPr="005A2FE9">
              <w:rPr>
                <w:rFonts w:ascii="Arial" w:hAnsi="Arial" w:cs="Arial"/>
                <w:b/>
                <w:color w:val="131413"/>
                <w:sz w:val="22"/>
                <w:szCs w:val="22"/>
              </w:rPr>
              <w:t>C)</w:t>
            </w:r>
          </w:p>
        </w:tc>
      </w:tr>
      <w:tr w:rsidR="00833908" w:rsidRPr="005A2FE9" w:rsidTr="00086199">
        <w:trPr>
          <w:trHeight w:val="20"/>
        </w:trPr>
        <w:tc>
          <w:tcPr>
            <w:tcW w:w="3116" w:type="dxa"/>
            <w:tcBorders>
              <w:top w:val="single" w:sz="4" w:space="0" w:color="auto"/>
            </w:tcBorders>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1-hydroxypyrene</w:t>
            </w:r>
          </w:p>
        </w:tc>
        <w:tc>
          <w:tcPr>
            <w:tcW w:w="3117" w:type="dxa"/>
            <w:tcBorders>
              <w:top w:val="single" w:sz="4" w:space="0" w:color="auto"/>
            </w:tcBorders>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noProof/>
                <w:color w:val="131413"/>
                <w:sz w:val="22"/>
                <w:szCs w:val="22"/>
              </w:rPr>
              <w:drawing>
                <wp:inline distT="0" distB="0" distL="0" distR="0" wp14:anchorId="12BA8FED" wp14:editId="1A304361">
                  <wp:extent cx="822344" cy="893852"/>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47401" cy="921087"/>
                          </a:xfrm>
                          <a:prstGeom prst="rect">
                            <a:avLst/>
                          </a:prstGeom>
                        </pic:spPr>
                      </pic:pic>
                    </a:graphicData>
                  </a:graphic>
                </wp:inline>
              </w:drawing>
            </w:r>
          </w:p>
        </w:tc>
        <w:tc>
          <w:tcPr>
            <w:tcW w:w="3117" w:type="dxa"/>
            <w:tcBorders>
              <w:top w:val="single" w:sz="4" w:space="0" w:color="auto"/>
            </w:tcBorders>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298</w:t>
            </w:r>
          </w:p>
        </w:tc>
      </w:tr>
      <w:tr w:rsidR="00833908" w:rsidRPr="005A2FE9" w:rsidTr="00086199">
        <w:trPr>
          <w:trHeight w:val="20"/>
        </w:trPr>
        <w:tc>
          <w:tcPr>
            <w:tcW w:w="3116"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2-hydroxynapthalene</w:t>
            </w:r>
          </w:p>
        </w:tc>
        <w:tc>
          <w:tcPr>
            <w:tcW w:w="3117" w:type="dxa"/>
            <w:vAlign w:val="center"/>
          </w:tcPr>
          <w:p w:rsidR="00833908" w:rsidRPr="005A2FE9" w:rsidRDefault="00833908" w:rsidP="00086199">
            <w:pPr>
              <w:jc w:val="center"/>
              <w:rPr>
                <w:sz w:val="22"/>
                <w:szCs w:val="22"/>
              </w:rPr>
            </w:pPr>
            <w:r w:rsidRPr="005A2FE9">
              <w:rPr>
                <w:noProof/>
                <w:sz w:val="22"/>
                <w:szCs w:val="22"/>
              </w:rPr>
              <w:drawing>
                <wp:inline distT="0" distB="0" distL="0" distR="0" wp14:anchorId="5A59D520" wp14:editId="435213BA">
                  <wp:extent cx="924674" cy="434317"/>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64601" cy="453070"/>
                          </a:xfrm>
                          <a:prstGeom prst="rect">
                            <a:avLst/>
                          </a:prstGeom>
                        </pic:spPr>
                      </pic:pic>
                    </a:graphicData>
                  </a:graphic>
                </wp:inline>
              </w:drawing>
            </w:r>
          </w:p>
          <w:p w:rsidR="00833908" w:rsidRPr="005A2FE9" w:rsidRDefault="00833908" w:rsidP="00086199">
            <w:pPr>
              <w:pStyle w:val="ListParagraph"/>
              <w:ind w:left="0"/>
              <w:jc w:val="center"/>
              <w:rPr>
                <w:rFonts w:ascii="Arial" w:hAnsi="Arial" w:cs="Arial"/>
                <w:b/>
                <w:color w:val="131413"/>
                <w:sz w:val="22"/>
                <w:szCs w:val="22"/>
              </w:rPr>
            </w:pPr>
          </w:p>
        </w:tc>
        <w:tc>
          <w:tcPr>
            <w:tcW w:w="3117"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285</w:t>
            </w:r>
          </w:p>
        </w:tc>
      </w:tr>
      <w:tr w:rsidR="00833908" w:rsidRPr="005A2FE9" w:rsidTr="00086199">
        <w:trPr>
          <w:trHeight w:val="20"/>
        </w:trPr>
        <w:tc>
          <w:tcPr>
            <w:tcW w:w="3116"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3-hydroxyphenanthrene</w:t>
            </w:r>
          </w:p>
        </w:tc>
        <w:tc>
          <w:tcPr>
            <w:tcW w:w="3117"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noProof/>
                <w:color w:val="131413"/>
                <w:sz w:val="22"/>
                <w:szCs w:val="22"/>
              </w:rPr>
              <w:drawing>
                <wp:inline distT="0" distB="0" distL="0" distR="0" wp14:anchorId="2D423535" wp14:editId="5FFFFD8E">
                  <wp:extent cx="1047964" cy="65069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7947" cy="669314"/>
                          </a:xfrm>
                          <a:prstGeom prst="rect">
                            <a:avLst/>
                          </a:prstGeom>
                        </pic:spPr>
                      </pic:pic>
                    </a:graphicData>
                  </a:graphic>
                </wp:inline>
              </w:drawing>
            </w:r>
          </w:p>
        </w:tc>
        <w:tc>
          <w:tcPr>
            <w:tcW w:w="3117"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405</w:t>
            </w:r>
          </w:p>
        </w:tc>
      </w:tr>
      <w:tr w:rsidR="00833908" w:rsidRPr="005A2FE9" w:rsidTr="00086199">
        <w:trPr>
          <w:trHeight w:val="20"/>
        </w:trPr>
        <w:tc>
          <w:tcPr>
            <w:tcW w:w="3116"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9-hydroxyfluorene</w:t>
            </w:r>
          </w:p>
        </w:tc>
        <w:tc>
          <w:tcPr>
            <w:tcW w:w="3117"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noProof/>
                <w:color w:val="131413"/>
                <w:sz w:val="22"/>
                <w:szCs w:val="22"/>
              </w:rPr>
              <w:drawing>
                <wp:inline distT="0" distB="0" distL="0" distR="0" wp14:anchorId="27607D44" wp14:editId="3BB268D4">
                  <wp:extent cx="893852" cy="646324"/>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8589" cy="664211"/>
                          </a:xfrm>
                          <a:prstGeom prst="rect">
                            <a:avLst/>
                          </a:prstGeom>
                        </pic:spPr>
                      </pic:pic>
                    </a:graphicData>
                  </a:graphic>
                </wp:inline>
              </w:drawing>
            </w:r>
          </w:p>
        </w:tc>
        <w:tc>
          <w:tcPr>
            <w:tcW w:w="3117" w:type="dxa"/>
            <w:vAlign w:val="center"/>
          </w:tcPr>
          <w:p w:rsidR="00833908" w:rsidRPr="005A2FE9" w:rsidRDefault="00833908" w:rsidP="00086199">
            <w:pPr>
              <w:pStyle w:val="ListParagraph"/>
              <w:ind w:left="0"/>
              <w:jc w:val="center"/>
              <w:rPr>
                <w:rFonts w:ascii="Arial" w:hAnsi="Arial" w:cs="Arial"/>
                <w:color w:val="131413"/>
                <w:sz w:val="22"/>
                <w:szCs w:val="22"/>
              </w:rPr>
            </w:pPr>
            <w:r w:rsidRPr="005A2FE9">
              <w:rPr>
                <w:rFonts w:ascii="Arial" w:hAnsi="Arial" w:cs="Arial"/>
                <w:color w:val="131413"/>
                <w:sz w:val="22"/>
                <w:szCs w:val="22"/>
              </w:rPr>
              <w:t>368</w:t>
            </w:r>
          </w:p>
        </w:tc>
      </w:tr>
    </w:tbl>
    <w:p w:rsidR="00833908" w:rsidRPr="005A2FE9" w:rsidRDefault="00833908" w:rsidP="00833908">
      <w:pPr>
        <w:pStyle w:val="ListParagraph"/>
        <w:ind w:left="360"/>
        <w:rPr>
          <w:rFonts w:ascii="Arial" w:hAnsi="Arial" w:cs="Arial"/>
          <w:color w:val="131413"/>
          <w:sz w:val="22"/>
          <w:szCs w:val="22"/>
        </w:rPr>
      </w:pPr>
    </w:p>
    <w:p w:rsidR="00833908" w:rsidRPr="005A2FE9" w:rsidRDefault="00833908" w:rsidP="00833908">
      <w:pPr>
        <w:pStyle w:val="ListParagraph"/>
        <w:ind w:left="360"/>
        <w:rPr>
          <w:rFonts w:ascii="Arial" w:hAnsi="Arial" w:cs="Arial"/>
          <w:b/>
          <w:sz w:val="22"/>
          <w:szCs w:val="22"/>
        </w:rPr>
      </w:pPr>
      <w:r w:rsidRPr="005A2FE9">
        <w:rPr>
          <w:rFonts w:ascii="Arial" w:hAnsi="Arial" w:cs="Arial"/>
          <w:color w:val="131413"/>
          <w:sz w:val="22"/>
          <w:szCs w:val="22"/>
        </w:rPr>
        <w:t>You wish to measure the PAH exposure of firefighters who were involved in putting out the historic “Camp Fire”</w:t>
      </w:r>
      <w:r>
        <w:rPr>
          <w:rFonts w:ascii="Arial" w:hAnsi="Arial" w:cs="Arial"/>
          <w:color w:val="131413"/>
          <w:sz w:val="22"/>
          <w:szCs w:val="22"/>
        </w:rPr>
        <w:t xml:space="preserve"> in 2018 –</w:t>
      </w:r>
      <w:r w:rsidRPr="005A2FE9">
        <w:rPr>
          <w:rFonts w:ascii="Arial" w:hAnsi="Arial" w:cs="Arial"/>
          <w:color w:val="131413"/>
          <w:sz w:val="22"/>
          <w:szCs w:val="22"/>
        </w:rPr>
        <w:t xml:space="preserve"> a wildfire that destroyed over 150,000 acres of land, 18,000 homes, and resulted in at least 85 civilian fatalities, with a total cost of $16.5 billion. The fire reached containment after 17 days of sustained effort, so firefighters involved in controlling the fire had significant and prolonged exposure to PAHs. The questions below will help you develop a GC method for quantifying the PAH exposure of firefighters by measuring the concentrations of the hydroxylated metabolites.</w:t>
      </w:r>
    </w:p>
    <w:p w:rsidR="00833908" w:rsidRPr="005A2FE9" w:rsidRDefault="00833908" w:rsidP="00833908">
      <w:pPr>
        <w:pStyle w:val="ListParagraph"/>
        <w:ind w:left="360"/>
        <w:rPr>
          <w:rFonts w:ascii="Arial" w:eastAsia="Times New Roman" w:hAnsi="Arial" w:cs="Arial"/>
          <w:sz w:val="22"/>
          <w:szCs w:val="22"/>
        </w:rPr>
      </w:pPr>
    </w:p>
    <w:p w:rsidR="00833908" w:rsidRPr="005A2FE9" w:rsidRDefault="00833908" w:rsidP="00833908">
      <w:pPr>
        <w:pStyle w:val="ListParagraph"/>
        <w:numPr>
          <w:ilvl w:val="1"/>
          <w:numId w:val="2"/>
        </w:numPr>
        <w:ind w:left="720"/>
        <w:rPr>
          <w:rFonts w:ascii="Arial" w:eastAsia="Times New Roman" w:hAnsi="Arial" w:cs="Arial"/>
          <w:sz w:val="22"/>
          <w:szCs w:val="22"/>
        </w:rPr>
      </w:pPr>
      <w:r w:rsidRPr="005A2FE9">
        <w:rPr>
          <w:rFonts w:ascii="Arial" w:eastAsia="Times New Roman" w:hAnsi="Arial" w:cs="Arial"/>
          <w:noProof/>
          <w:sz w:val="22"/>
          <w:szCs w:val="22"/>
        </w:rPr>
        <w:t>Human urine is comprised of approximately 95% water, as well as a number of inorganic salts and organic compounds, like proteins, hormones, and metabolites. The exact composition varies from person-to-person depending on their body chemistry and diet. You were able to collect mid-stream urine samples from 50 firefighters (40 male, 10 female) involved in the “Camp Fire”. Describe how you will prepare the urine samples so that they can be directly injeced into a GC instrument.</w:t>
      </w: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noProof/>
          <w:sz w:val="22"/>
          <w:szCs w:val="22"/>
        </w:rPr>
      </w:pPr>
    </w:p>
    <w:p w:rsidR="00833908" w:rsidRPr="005A2FE9" w:rsidRDefault="00833908" w:rsidP="00833908">
      <w:pPr>
        <w:rPr>
          <w:rFonts w:ascii="Arial" w:eastAsia="Times New Roman" w:hAnsi="Arial" w:cs="Arial"/>
          <w:sz w:val="22"/>
          <w:szCs w:val="22"/>
        </w:rPr>
      </w:pPr>
      <w:r w:rsidRPr="005A2FE9">
        <w:rPr>
          <w:rFonts w:ascii="Arial" w:eastAsia="Times New Roman" w:hAnsi="Arial" w:cs="Arial"/>
          <w:noProof/>
          <w:sz w:val="22"/>
          <w:szCs w:val="22"/>
        </w:rPr>
        <w:lastRenderedPageBreak/>
        <w:t xml:space="preserve"> </w:t>
      </w:r>
    </w:p>
    <w:p w:rsidR="00833908" w:rsidRPr="005A2FE9" w:rsidRDefault="00833908" w:rsidP="00833908">
      <w:pPr>
        <w:pStyle w:val="ListParagraph"/>
        <w:numPr>
          <w:ilvl w:val="1"/>
          <w:numId w:val="2"/>
        </w:numPr>
        <w:ind w:left="720"/>
        <w:rPr>
          <w:rFonts w:ascii="Arial" w:eastAsia="Times New Roman" w:hAnsi="Arial" w:cs="Arial"/>
          <w:sz w:val="22"/>
          <w:szCs w:val="22"/>
        </w:rPr>
      </w:pPr>
      <w:r w:rsidRPr="005A2FE9">
        <w:rPr>
          <w:rFonts w:ascii="Arial" w:eastAsia="Times New Roman" w:hAnsi="Arial" w:cs="Arial"/>
          <w:sz w:val="22"/>
          <w:szCs w:val="22"/>
        </w:rPr>
        <w:t xml:space="preserve">You plan to use the internal standards method to prepare your calibration curve. </w:t>
      </w:r>
      <w:r>
        <w:rPr>
          <w:rFonts w:ascii="Arial" w:eastAsia="Times New Roman" w:hAnsi="Arial" w:cs="Arial"/>
          <w:sz w:val="22"/>
          <w:szCs w:val="22"/>
        </w:rPr>
        <w:t>List</w:t>
      </w:r>
      <w:r w:rsidRPr="005A2FE9">
        <w:rPr>
          <w:rFonts w:ascii="Arial" w:eastAsia="Times New Roman" w:hAnsi="Arial" w:cs="Arial"/>
          <w:sz w:val="22"/>
          <w:szCs w:val="22"/>
        </w:rPr>
        <w:t xml:space="preserve"> the requirements of an internal standard</w:t>
      </w:r>
      <w:r>
        <w:rPr>
          <w:rFonts w:ascii="Arial" w:eastAsia="Times New Roman" w:hAnsi="Arial" w:cs="Arial"/>
          <w:sz w:val="22"/>
          <w:szCs w:val="22"/>
        </w:rPr>
        <w:t>.</w:t>
      </w: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Default="00833908" w:rsidP="00833908">
      <w:pPr>
        <w:rPr>
          <w:rFonts w:ascii="Arial" w:eastAsia="Times New Roman" w:hAnsi="Arial" w:cs="Arial"/>
          <w:sz w:val="22"/>
          <w:szCs w:val="22"/>
        </w:rPr>
      </w:pPr>
    </w:p>
    <w:p w:rsidR="00833908"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pStyle w:val="ListParagraph"/>
        <w:numPr>
          <w:ilvl w:val="1"/>
          <w:numId w:val="2"/>
        </w:numPr>
        <w:ind w:left="720"/>
        <w:rPr>
          <w:rFonts w:ascii="Arial" w:eastAsia="Times New Roman" w:hAnsi="Arial" w:cs="Arial"/>
          <w:sz w:val="22"/>
          <w:szCs w:val="22"/>
        </w:rPr>
      </w:pPr>
      <w:r w:rsidRPr="005A2FE9">
        <w:rPr>
          <w:rFonts w:ascii="Arial" w:eastAsia="Times New Roman" w:hAnsi="Arial" w:cs="Arial"/>
          <w:sz w:val="22"/>
          <w:szCs w:val="22"/>
        </w:rPr>
        <w:t>Propose an internal standard for the analysis by drawing a chemical structure. Would you expect this molecule to have a different elution time than your analytes? Why?</w:t>
      </w: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Default="00833908" w:rsidP="00833908">
      <w:pPr>
        <w:rPr>
          <w:rFonts w:ascii="Arial" w:eastAsia="Times New Roman" w:hAnsi="Arial" w:cs="Arial"/>
          <w:sz w:val="22"/>
          <w:szCs w:val="22"/>
        </w:rPr>
      </w:pPr>
    </w:p>
    <w:p w:rsidR="00833908" w:rsidRDefault="00833908" w:rsidP="00833908">
      <w:pPr>
        <w:rPr>
          <w:rFonts w:ascii="Arial" w:eastAsia="Times New Roman" w:hAnsi="Arial" w:cs="Arial"/>
          <w:sz w:val="22"/>
          <w:szCs w:val="22"/>
        </w:rPr>
      </w:pPr>
    </w:p>
    <w:p w:rsidR="00833908" w:rsidRDefault="00833908" w:rsidP="00833908">
      <w:pPr>
        <w:rPr>
          <w:rFonts w:ascii="Arial" w:eastAsia="Times New Roman" w:hAnsi="Arial" w:cs="Arial"/>
          <w:sz w:val="22"/>
          <w:szCs w:val="22"/>
        </w:rPr>
      </w:pPr>
    </w:p>
    <w:p w:rsidR="00833908"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pStyle w:val="ListParagraph"/>
        <w:numPr>
          <w:ilvl w:val="1"/>
          <w:numId w:val="2"/>
        </w:numPr>
        <w:ind w:left="720"/>
        <w:rPr>
          <w:rFonts w:ascii="Arial" w:eastAsia="Times New Roman" w:hAnsi="Arial" w:cs="Arial"/>
          <w:sz w:val="22"/>
          <w:szCs w:val="22"/>
        </w:rPr>
      </w:pPr>
      <w:r w:rsidRPr="005A2FE9">
        <w:rPr>
          <w:rFonts w:ascii="Arial" w:eastAsia="Times New Roman" w:hAnsi="Arial" w:cs="Arial"/>
          <w:sz w:val="22"/>
          <w:szCs w:val="22"/>
        </w:rPr>
        <w:t xml:space="preserve">You plan to carry out your GC separation on a fused-silica capillary coated with a liquid stationary phase. From the list below, choose an appropriate stationary phase for the separation. </w:t>
      </w:r>
      <w:r w:rsidRPr="005A2FE9">
        <w:rPr>
          <w:rFonts w:ascii="Arial" w:eastAsia="Times New Roman" w:hAnsi="Arial" w:cs="Arial"/>
          <w:sz w:val="22"/>
          <w:szCs w:val="22"/>
          <w:u w:val="single"/>
        </w:rPr>
        <w:t>Justify your choice</w:t>
      </w:r>
      <w:r w:rsidRPr="005A2FE9">
        <w:rPr>
          <w:rFonts w:ascii="Arial" w:eastAsia="Times New Roman" w:hAnsi="Arial" w:cs="Arial"/>
          <w:sz w:val="22"/>
          <w:szCs w:val="22"/>
        </w:rPr>
        <w:t>.</w:t>
      </w:r>
    </w:p>
    <w:p w:rsidR="00833908"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spacing w:line="360" w:lineRule="auto"/>
        <w:ind w:left="720"/>
        <w:rPr>
          <w:rFonts w:ascii="Arial" w:hAnsi="Arial"/>
          <w:sz w:val="22"/>
          <w:szCs w:val="22"/>
        </w:rPr>
      </w:pPr>
      <w:proofErr w:type="spellStart"/>
      <w:r w:rsidRPr="005A2FE9">
        <w:rPr>
          <w:rFonts w:ascii="Arial" w:hAnsi="Arial"/>
          <w:sz w:val="22"/>
          <w:szCs w:val="22"/>
        </w:rPr>
        <w:t>polydimethyl</w:t>
      </w:r>
      <w:proofErr w:type="spellEnd"/>
      <w:r w:rsidRPr="005A2FE9">
        <w:rPr>
          <w:rFonts w:ascii="Arial" w:hAnsi="Arial"/>
          <w:sz w:val="22"/>
          <w:szCs w:val="22"/>
        </w:rPr>
        <w:t xml:space="preserve"> siloxane</w:t>
      </w:r>
    </w:p>
    <w:p w:rsidR="00833908" w:rsidRPr="005A2FE9" w:rsidRDefault="00833908" w:rsidP="00833908">
      <w:pPr>
        <w:spacing w:line="360" w:lineRule="auto"/>
        <w:ind w:left="720"/>
        <w:rPr>
          <w:rFonts w:ascii="Arial" w:hAnsi="Arial"/>
          <w:sz w:val="22"/>
          <w:szCs w:val="22"/>
        </w:rPr>
      </w:pPr>
      <w:r w:rsidRPr="005A2FE9">
        <w:rPr>
          <w:rFonts w:ascii="Arial" w:hAnsi="Arial"/>
          <w:sz w:val="22"/>
          <w:szCs w:val="22"/>
        </w:rPr>
        <w:t>5% phenyl-</w:t>
      </w:r>
      <w:proofErr w:type="spellStart"/>
      <w:r w:rsidRPr="005A2FE9">
        <w:rPr>
          <w:rFonts w:ascii="Arial" w:hAnsi="Arial"/>
          <w:sz w:val="22"/>
          <w:szCs w:val="22"/>
        </w:rPr>
        <w:t>polydimethyl</w:t>
      </w:r>
      <w:proofErr w:type="spellEnd"/>
      <w:r w:rsidRPr="005A2FE9">
        <w:rPr>
          <w:rFonts w:ascii="Arial" w:hAnsi="Arial"/>
          <w:sz w:val="22"/>
          <w:szCs w:val="22"/>
        </w:rPr>
        <w:t xml:space="preserve"> siloxane</w:t>
      </w:r>
    </w:p>
    <w:p w:rsidR="00833908" w:rsidRPr="005A2FE9" w:rsidRDefault="00833908" w:rsidP="00833908">
      <w:pPr>
        <w:spacing w:line="360" w:lineRule="auto"/>
        <w:ind w:left="720"/>
        <w:rPr>
          <w:rFonts w:ascii="Arial" w:hAnsi="Arial"/>
          <w:sz w:val="22"/>
          <w:szCs w:val="22"/>
        </w:rPr>
      </w:pPr>
      <w:r w:rsidRPr="005A2FE9">
        <w:rPr>
          <w:rFonts w:ascii="Arial" w:hAnsi="Arial"/>
          <w:sz w:val="22"/>
          <w:szCs w:val="22"/>
        </w:rPr>
        <w:t>50% phenyl-</w:t>
      </w:r>
      <w:proofErr w:type="spellStart"/>
      <w:r w:rsidRPr="005A2FE9">
        <w:rPr>
          <w:rFonts w:ascii="Arial" w:hAnsi="Arial"/>
          <w:sz w:val="22"/>
          <w:szCs w:val="22"/>
        </w:rPr>
        <w:t>polydimethyl</w:t>
      </w:r>
      <w:proofErr w:type="spellEnd"/>
      <w:r w:rsidRPr="005A2FE9">
        <w:rPr>
          <w:rFonts w:ascii="Arial" w:hAnsi="Arial"/>
          <w:sz w:val="22"/>
          <w:szCs w:val="22"/>
        </w:rPr>
        <w:t xml:space="preserve"> siloxane</w:t>
      </w:r>
    </w:p>
    <w:p w:rsidR="00833908" w:rsidRPr="005A2FE9" w:rsidRDefault="00833908" w:rsidP="00833908">
      <w:pPr>
        <w:spacing w:line="360" w:lineRule="auto"/>
        <w:ind w:left="720"/>
        <w:rPr>
          <w:rFonts w:ascii="Arial" w:hAnsi="Arial"/>
          <w:sz w:val="22"/>
          <w:szCs w:val="22"/>
        </w:rPr>
      </w:pPr>
      <w:r w:rsidRPr="005A2FE9">
        <w:rPr>
          <w:rFonts w:ascii="Arial" w:hAnsi="Arial"/>
          <w:sz w:val="22"/>
          <w:szCs w:val="22"/>
        </w:rPr>
        <w:t xml:space="preserve">50% </w:t>
      </w:r>
      <w:proofErr w:type="spellStart"/>
      <w:r w:rsidRPr="005A2FE9">
        <w:rPr>
          <w:rFonts w:ascii="Arial" w:hAnsi="Arial"/>
          <w:sz w:val="22"/>
          <w:szCs w:val="22"/>
        </w:rPr>
        <w:t>trifluoropropyl-polydimethyl</w:t>
      </w:r>
      <w:proofErr w:type="spellEnd"/>
      <w:r w:rsidRPr="005A2FE9">
        <w:rPr>
          <w:rFonts w:ascii="Arial" w:hAnsi="Arial"/>
          <w:sz w:val="22"/>
          <w:szCs w:val="22"/>
        </w:rPr>
        <w:t xml:space="preserve"> siloxane</w:t>
      </w:r>
    </w:p>
    <w:p w:rsidR="00833908" w:rsidRPr="005A2FE9" w:rsidRDefault="00833908" w:rsidP="00833908">
      <w:pPr>
        <w:spacing w:line="360" w:lineRule="auto"/>
        <w:ind w:left="720"/>
        <w:rPr>
          <w:rFonts w:ascii="Arial" w:hAnsi="Arial"/>
          <w:sz w:val="22"/>
          <w:szCs w:val="22"/>
        </w:rPr>
      </w:pPr>
      <w:r w:rsidRPr="005A2FE9">
        <w:rPr>
          <w:rFonts w:ascii="Arial" w:hAnsi="Arial"/>
          <w:sz w:val="22"/>
          <w:szCs w:val="22"/>
        </w:rPr>
        <w:t>polyethylene glycol</w:t>
      </w:r>
    </w:p>
    <w:p w:rsidR="00833908" w:rsidRPr="005A2FE9" w:rsidRDefault="00833908" w:rsidP="00833908">
      <w:pPr>
        <w:spacing w:line="360" w:lineRule="auto"/>
        <w:ind w:left="720"/>
        <w:rPr>
          <w:rFonts w:ascii="Arial" w:hAnsi="Arial"/>
          <w:sz w:val="22"/>
          <w:szCs w:val="22"/>
        </w:rPr>
      </w:pPr>
      <w:r w:rsidRPr="005A2FE9">
        <w:rPr>
          <w:rFonts w:ascii="Arial" w:hAnsi="Arial"/>
          <w:sz w:val="22"/>
          <w:szCs w:val="22"/>
        </w:rPr>
        <w:t>50% cyanopropyl-</w:t>
      </w:r>
      <w:proofErr w:type="spellStart"/>
      <w:r w:rsidRPr="005A2FE9">
        <w:rPr>
          <w:rFonts w:ascii="Arial" w:hAnsi="Arial"/>
          <w:sz w:val="22"/>
          <w:szCs w:val="22"/>
        </w:rPr>
        <w:t>polydimethyl</w:t>
      </w:r>
      <w:proofErr w:type="spellEnd"/>
      <w:r w:rsidRPr="005A2FE9">
        <w:rPr>
          <w:rFonts w:ascii="Arial" w:hAnsi="Arial"/>
          <w:sz w:val="22"/>
          <w:szCs w:val="22"/>
        </w:rPr>
        <w:t xml:space="preserve"> siloxane</w:t>
      </w:r>
    </w:p>
    <w:p w:rsidR="00833908"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pStyle w:val="ListParagraph"/>
        <w:numPr>
          <w:ilvl w:val="1"/>
          <w:numId w:val="2"/>
        </w:numPr>
        <w:ind w:left="720"/>
        <w:rPr>
          <w:rFonts w:ascii="Arial" w:eastAsia="Times New Roman" w:hAnsi="Arial" w:cs="Arial"/>
          <w:sz w:val="22"/>
          <w:szCs w:val="22"/>
        </w:rPr>
      </w:pPr>
      <w:r>
        <w:rPr>
          <w:rFonts w:ascii="Arial" w:eastAsia="Times New Roman" w:hAnsi="Arial" w:cs="Arial"/>
          <w:sz w:val="22"/>
          <w:szCs w:val="22"/>
        </w:rPr>
        <w:t xml:space="preserve">Choose an appropriate detector for the </w:t>
      </w:r>
      <w:r w:rsidRPr="007B2D45">
        <w:rPr>
          <w:rFonts w:ascii="Arial" w:eastAsia="Times New Roman" w:hAnsi="Arial" w:cs="Arial"/>
          <w:i/>
          <w:sz w:val="22"/>
          <w:szCs w:val="22"/>
        </w:rPr>
        <w:t xml:space="preserve">unambiguous </w:t>
      </w:r>
      <w:r>
        <w:rPr>
          <w:rFonts w:ascii="Arial" w:eastAsia="Times New Roman" w:hAnsi="Arial" w:cs="Arial"/>
          <w:sz w:val="22"/>
          <w:szCs w:val="22"/>
        </w:rPr>
        <w:t xml:space="preserve">determination of the metabolites. </w:t>
      </w:r>
      <w:r w:rsidRPr="008F63C8">
        <w:rPr>
          <w:rFonts w:ascii="Arial" w:eastAsia="Times New Roman" w:hAnsi="Arial" w:cs="Arial"/>
          <w:sz w:val="22"/>
          <w:szCs w:val="22"/>
          <w:u w:val="single"/>
        </w:rPr>
        <w:t>Justify your choice</w:t>
      </w:r>
      <w:r>
        <w:rPr>
          <w:rFonts w:ascii="Arial" w:eastAsia="Times New Roman" w:hAnsi="Arial" w:cs="Arial"/>
          <w:sz w:val="22"/>
          <w:szCs w:val="22"/>
        </w:rPr>
        <w:t xml:space="preserve">. </w:t>
      </w: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5A2FE9" w:rsidRDefault="00833908" w:rsidP="00833908">
      <w:pPr>
        <w:rPr>
          <w:rFonts w:ascii="Arial" w:eastAsia="Times New Roman" w:hAnsi="Arial" w:cs="Arial"/>
          <w:sz w:val="22"/>
          <w:szCs w:val="22"/>
        </w:rPr>
      </w:pPr>
    </w:p>
    <w:p w:rsidR="00833908" w:rsidRPr="00833908" w:rsidRDefault="00833908" w:rsidP="00833908">
      <w:pPr>
        <w:rPr>
          <w:rFonts w:ascii="Arial" w:hAnsi="Arial"/>
          <w:sz w:val="22"/>
          <w:szCs w:val="22"/>
        </w:rPr>
      </w:pPr>
      <w:bookmarkStart w:id="0" w:name="_GoBack"/>
      <w:bookmarkEnd w:id="0"/>
    </w:p>
    <w:sectPr w:rsidR="00833908" w:rsidRPr="00833908" w:rsidSect="008339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D01B1"/>
    <w:multiLevelType w:val="hybridMultilevel"/>
    <w:tmpl w:val="4998D2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3C4E6B"/>
    <w:multiLevelType w:val="hybridMultilevel"/>
    <w:tmpl w:val="2E90C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908"/>
    <w:rsid w:val="000E7598"/>
    <w:rsid w:val="004F681B"/>
    <w:rsid w:val="00833908"/>
    <w:rsid w:val="00EF2C43"/>
    <w:rsid w:val="00FC51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6017F4"/>
  <w14:defaultImageDpi w14:val="300"/>
  <w15:docId w15:val="{CEE47439-4B8B-42B8-BA22-E1D3DAE8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3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3908"/>
    <w:pPr>
      <w:ind w:left="720"/>
      <w:contextualSpacing/>
    </w:pPr>
  </w:style>
  <w:style w:type="table" w:styleId="TableGrid">
    <w:name w:val="Table Grid"/>
    <w:basedOn w:val="TableNormal"/>
    <w:uiPriority w:val="39"/>
    <w:rsid w:val="00833908"/>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3390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3908"/>
    <w:rPr>
      <w:rFonts w:ascii="Lucida Grande" w:hAnsi="Lucida Grande" w:cs="Lucida Grande"/>
      <w:sz w:val="18"/>
      <w:szCs w:val="18"/>
    </w:rPr>
  </w:style>
  <w:style w:type="character" w:styleId="Hyperlink">
    <w:name w:val="Hyperlink"/>
    <w:basedOn w:val="DefaultParagraphFont"/>
    <w:uiPriority w:val="99"/>
    <w:semiHidden/>
    <w:unhideWhenUsed/>
    <w:rsid w:val="004F68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4368228">
      <w:bodyDiv w:val="1"/>
      <w:marLeft w:val="0"/>
      <w:marRight w:val="0"/>
      <w:marTop w:val="0"/>
      <w:marBottom w:val="0"/>
      <w:divBdr>
        <w:top w:val="none" w:sz="0" w:space="0" w:color="auto"/>
        <w:left w:val="none" w:sz="0" w:space="0" w:color="auto"/>
        <w:bottom w:val="none" w:sz="0" w:space="0" w:color="auto"/>
        <w:right w:val="none" w:sz="0" w:space="0" w:color="auto"/>
      </w:divBdr>
      <w:divsChild>
        <w:div w:id="1268540851">
          <w:marLeft w:val="0"/>
          <w:marRight w:val="0"/>
          <w:marTop w:val="0"/>
          <w:marBottom w:val="0"/>
          <w:divBdr>
            <w:top w:val="none" w:sz="0" w:space="0" w:color="auto"/>
            <w:left w:val="none" w:sz="0" w:space="0" w:color="auto"/>
            <w:bottom w:val="none" w:sz="0" w:space="0" w:color="auto"/>
            <w:right w:val="none" w:sz="0" w:space="0" w:color="auto"/>
          </w:divBdr>
        </w:div>
        <w:div w:id="961378315">
          <w:marLeft w:val="0"/>
          <w:marRight w:val="0"/>
          <w:marTop w:val="0"/>
          <w:marBottom w:val="0"/>
          <w:divBdr>
            <w:top w:val="none" w:sz="0" w:space="0" w:color="auto"/>
            <w:left w:val="none" w:sz="0" w:space="0" w:color="auto"/>
            <w:bottom w:val="none" w:sz="0" w:space="0" w:color="auto"/>
            <w:right w:val="none" w:sz="0" w:space="0" w:color="auto"/>
          </w:divBdr>
        </w:div>
        <w:div w:id="151371517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00216-018-01569-1?shared-article-renderer" TargetMode="External"/><Relationship Id="rId11" Type="http://schemas.openxmlformats.org/officeDocument/2006/relationships/image" Target="media/image5.emf"/><Relationship Id="rId5" Type="http://schemas.openxmlformats.org/officeDocument/2006/relationships/hyperlink" Target="https://pubs.acs.org/doi/abs/10.1021/ed078p1231" TargetMode="Externa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WFU</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Riley</dc:creator>
  <cp:keywords/>
  <dc:description/>
  <cp:lastModifiedBy>Thomas J. Wenzel</cp:lastModifiedBy>
  <cp:revision>3</cp:revision>
  <dcterms:created xsi:type="dcterms:W3CDTF">2020-07-03T19:42:00Z</dcterms:created>
  <dcterms:modified xsi:type="dcterms:W3CDTF">2020-07-17T21:21:00Z</dcterms:modified>
</cp:coreProperties>
</file>