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6AE3" w:rsidRPr="00455D3F" w:rsidRDefault="00356AE3" w:rsidP="00356AE3">
      <w:pPr>
        <w:rPr>
          <w:b/>
        </w:rPr>
      </w:pPr>
      <w:r w:rsidRPr="00455D3F">
        <w:rPr>
          <w:b/>
        </w:rPr>
        <w:t>FUNDAMENTAL RESOLUTION EQUATION</w:t>
      </w:r>
    </w:p>
    <w:p w:rsidR="00356AE3" w:rsidRDefault="00356AE3" w:rsidP="00356AE3"/>
    <w:p w:rsidR="00356AE3" w:rsidRDefault="00356AE3" w:rsidP="00356AE3">
      <w:r>
        <w:t>Another important equation in chromatographic separations is the fundamental resolution equation.  The equation relates the resolution of two compounds (R</w:t>
      </w:r>
      <w:r>
        <w:rPr>
          <w:vertAlign w:val="subscript"/>
        </w:rPr>
        <w:t>S</w:t>
      </w:r>
      <w:r>
        <w:t>) to the number of theoretical plates (N), retention or capacity factor (k), and selectivity factor (</w:t>
      </w:r>
      <w:r>
        <w:rPr>
          <w:rFonts w:ascii="Symbol" w:hAnsi="Symbol"/>
          <w:sz w:val="22"/>
        </w:rPr>
        <w:t></w:t>
      </w:r>
      <w:r>
        <w:t>).  Appendix I shows the derivation of the fundamental resolution equation.  Since we would usually be interested in separating two compounds that are close to each other in a chromatogram, and therefore possibly not resolved, we usually think of applying this equation when we want to improve the resolution of two adjacent components.</w:t>
      </w:r>
    </w:p>
    <w:p w:rsidR="00356AE3" w:rsidRDefault="00356AE3" w:rsidP="00356AE3"/>
    <w:p w:rsidR="00356AE3" w:rsidRPr="00A37349" w:rsidRDefault="00356AE3" w:rsidP="00356AE3">
      <w:pPr>
        <w:jc w:val="center"/>
      </w:pPr>
      <m:oMathPara>
        <m:oMath>
          <m:sSub>
            <m:sSubPr>
              <m:ctrlPr>
                <w:rPr>
                  <w:rFonts w:ascii="Cambria Math" w:hAnsi="Cambria Math"/>
                  <w:i/>
                </w:rPr>
              </m:ctrlPr>
            </m:sSubPr>
            <m:e>
              <m:r>
                <m:rPr>
                  <m:nor/>
                </m:rPr>
                <m:t>R</m:t>
              </m:r>
            </m:e>
            <m:sub>
              <m:r>
                <m:rPr>
                  <m:nor/>
                </m:rPr>
                <m:t>S</m:t>
              </m:r>
            </m:sub>
          </m:sSub>
          <m:r>
            <m:rPr>
              <m:nor/>
            </m:rPr>
            <m:t xml:space="preserve"> = </m:t>
          </m:r>
          <m:d>
            <m:dPr>
              <m:ctrlPr>
                <w:rPr>
                  <w:rFonts w:ascii="Cambria Math" w:hAnsi="Cambria Math"/>
                  <w:i/>
                </w:rPr>
              </m:ctrlPr>
            </m:dPr>
            <m:e>
              <m:f>
                <m:fPr>
                  <m:ctrlPr>
                    <w:rPr>
                      <w:rFonts w:ascii="Cambria Math" w:hAnsi="Cambria Math"/>
                      <w:i/>
                    </w:rPr>
                  </m:ctrlPr>
                </m:fPr>
                <m:num>
                  <m:rad>
                    <m:radPr>
                      <m:degHide m:val="1"/>
                      <m:ctrlPr>
                        <w:rPr>
                          <w:rFonts w:ascii="Cambria Math" w:hAnsi="Cambria Math"/>
                          <w:i/>
                        </w:rPr>
                      </m:ctrlPr>
                    </m:radPr>
                    <m:deg/>
                    <m:e>
                      <m:r>
                        <m:rPr>
                          <m:nor/>
                        </m:rPr>
                        <m:t>N</m:t>
                      </m:r>
                    </m:e>
                  </m:rad>
                </m:num>
                <m:den>
                  <m:r>
                    <m:rPr>
                      <m:nor/>
                    </m:rPr>
                    <m:t>4</m:t>
                  </m:r>
                </m:den>
              </m:f>
            </m:e>
          </m:d>
          <m:d>
            <m:dPr>
              <m:ctrlPr>
                <w:rPr>
                  <w:rFonts w:ascii="Cambria Math" w:hAnsi="Cambria Math"/>
                  <w:i/>
                </w:rPr>
              </m:ctrlPr>
            </m:dPr>
            <m:e>
              <m:f>
                <m:fPr>
                  <m:ctrlPr>
                    <w:rPr>
                      <w:rFonts w:ascii="Cambria Math" w:hAnsi="Cambria Math"/>
                      <w:i/>
                    </w:rPr>
                  </m:ctrlPr>
                </m:fPr>
                <m:num>
                  <m:r>
                    <m:rPr>
                      <m:nor/>
                    </m:rPr>
                    <m:t>α</m:t>
                  </m:r>
                  <m:r>
                    <m:rPr>
                      <m:sty m:val="p"/>
                    </m:rPr>
                    <w:rPr>
                      <w:rFonts w:ascii="Cambria Math" w:hAnsi="Cambria Math"/>
                    </w:rPr>
                    <m:t>-</m:t>
                  </m:r>
                  <m:r>
                    <m:rPr>
                      <m:nor/>
                    </m:rPr>
                    <m:t>1</m:t>
                  </m:r>
                </m:num>
                <m:den>
                  <m:r>
                    <m:rPr>
                      <m:nor/>
                    </m:rPr>
                    <m:t>α</m:t>
                  </m:r>
                </m:den>
              </m:f>
            </m:e>
          </m:d>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k</m:t>
                      </m:r>
                    </m:e>
                    <m:sub>
                      <m:r>
                        <m:rPr>
                          <m:nor/>
                        </m:rPr>
                        <m:t>2</m:t>
                      </m:r>
                    </m:sub>
                  </m:sSub>
                </m:num>
                <m:den>
                  <m:r>
                    <m:rPr>
                      <m:nor/>
                    </m:rPr>
                    <m:t xml:space="preserve">1 + </m:t>
                  </m:r>
                  <m:sSub>
                    <m:sSubPr>
                      <m:ctrlPr>
                        <w:rPr>
                          <w:rFonts w:ascii="Cambria Math" w:hAnsi="Cambria Math"/>
                          <w:i/>
                        </w:rPr>
                      </m:ctrlPr>
                    </m:sSubPr>
                    <m:e>
                      <m:r>
                        <m:rPr>
                          <m:nor/>
                        </m:rPr>
                        <m:t>k</m:t>
                      </m:r>
                    </m:e>
                    <m:sub>
                      <m:r>
                        <m:rPr>
                          <m:nor/>
                        </m:rPr>
                        <m:t>2</m:t>
                      </m:r>
                    </m:sub>
                  </m:sSub>
                </m:den>
              </m:f>
            </m:e>
          </m:d>
        </m:oMath>
      </m:oMathPara>
    </w:p>
    <w:p w:rsidR="00356AE3" w:rsidRDefault="00356AE3" w:rsidP="00356AE3"/>
    <w:p w:rsidR="00356AE3" w:rsidRDefault="00356AE3" w:rsidP="00356AE3">
      <w:r>
        <w:t>The interesting part about this equation is that it is possible to examine a chromatogram with poor resolution, decide which of the three terms is causing the most serious problem, and then make systematic experimental changes to improve the results.  It is worth examining the types of experimental changes that can be made to influence each of these terms.  Notice that in each case, making the term larger will improve the resolution.</w:t>
      </w:r>
    </w:p>
    <w:p w:rsidR="00356AE3" w:rsidRDefault="00356AE3" w:rsidP="00356AE3"/>
    <w:p w:rsidR="00356AE3" w:rsidRDefault="00356AE3" w:rsidP="00356AE3">
      <w:pPr>
        <w:pStyle w:val="BodyText"/>
      </w:pPr>
      <w:r>
        <w:t>N - Number of theoretical plates</w:t>
      </w:r>
    </w:p>
    <w:p w:rsidR="00356AE3" w:rsidRDefault="00356AE3" w:rsidP="00356AE3"/>
    <w:p w:rsidR="00356AE3" w:rsidRDefault="00356AE3" w:rsidP="00356AE3">
      <w:r>
        <w:t>One obvious way to increase the number of plates is to increase the length of the column.  Doubling the length doubles the number of theoretical plates.  One cautionary note about this is to consider the square root dependency on the number of plates in the equation.  Doubling the column length will double the analysis time, but will not double the resolution.  We would need a column four times longer to achieve a doubling of the resolution.  Increasing the number of plates will always give better resolution, but there are diminishing returns when the increased analysis time is considered.</w:t>
      </w:r>
    </w:p>
    <w:p w:rsidR="00356AE3" w:rsidRDefault="00356AE3" w:rsidP="00356AE3"/>
    <w:p w:rsidR="00356AE3" w:rsidRDefault="00356AE3" w:rsidP="00356AE3">
      <w:r>
        <w:t>Another thing to examine is factors that influence the band broadening equation.  That equation related broadening to h, and the smaller the value of h, the more plates in a column.  One thing we could do is optimize the flow rate of the system.  We mentioned how it was common to use a flow rate higher than the optimal one to shorten the analysis time.  Slowing down the flow rate may provide enough gains in efficiency to separate two compounds that are not fully resolved.</w:t>
      </w:r>
    </w:p>
    <w:p w:rsidR="00356AE3" w:rsidRDefault="00356AE3" w:rsidP="00356AE3"/>
    <w:p w:rsidR="00356AE3" w:rsidRDefault="00356AE3" w:rsidP="00356AE3">
      <w:r>
        <w:t xml:space="preserve">Another change to make is to use smaller particles.  In gas chromatography, this will lead to a thinner coating, improving mass transport broadening in the stationary phase.  In both gas chromatography and liquid chromatography, smaller particles will reduce the interstitial volume and reduce mobile phase mass transport broadening.  Smaller particles, provided they are packed well, also will reduce broadening contributions from eddy diffusion.  </w:t>
      </w:r>
    </w:p>
    <w:p w:rsidR="00356AE3" w:rsidRDefault="00356AE3" w:rsidP="00356AE3"/>
    <w:p w:rsidR="00356AE3" w:rsidRDefault="00356AE3" w:rsidP="00356AE3"/>
    <w:p w:rsidR="00356AE3" w:rsidRDefault="00356AE3" w:rsidP="00356AE3"/>
    <w:p w:rsidR="00356AE3" w:rsidRDefault="00356AE3" w:rsidP="00356AE3">
      <w:pPr>
        <w:rPr>
          <w:rFonts w:ascii="Symbol" w:hAnsi="Symbol"/>
          <w:b/>
          <w:sz w:val="22"/>
        </w:rPr>
      </w:pPr>
    </w:p>
    <w:p w:rsidR="00356AE3" w:rsidRDefault="00356AE3" w:rsidP="00356AE3">
      <w:pPr>
        <w:rPr>
          <w:rFonts w:ascii="Symbol" w:hAnsi="Symbol"/>
          <w:b/>
          <w:sz w:val="22"/>
        </w:rPr>
      </w:pPr>
    </w:p>
    <w:p w:rsidR="00356AE3" w:rsidRDefault="00356AE3" w:rsidP="00356AE3">
      <w:pPr>
        <w:rPr>
          <w:rFonts w:ascii="Symbol" w:hAnsi="Symbol"/>
          <w:b/>
          <w:sz w:val="22"/>
        </w:rPr>
      </w:pPr>
    </w:p>
    <w:p w:rsidR="00356AE3" w:rsidRDefault="00356AE3" w:rsidP="00356AE3">
      <w:pPr>
        <w:rPr>
          <w:b/>
        </w:rPr>
      </w:pPr>
      <w:r>
        <w:rPr>
          <w:rFonts w:ascii="Symbol" w:hAnsi="Symbol"/>
          <w:b/>
          <w:sz w:val="22"/>
        </w:rPr>
        <w:lastRenderedPageBreak/>
        <w:t></w:t>
      </w:r>
      <w:r>
        <w:rPr>
          <w:b/>
        </w:rPr>
        <w:t xml:space="preserve"> - Selectivity factor</w:t>
      </w:r>
    </w:p>
    <w:p w:rsidR="00356AE3" w:rsidRDefault="00356AE3" w:rsidP="00356AE3"/>
    <w:p w:rsidR="00356AE3" w:rsidRDefault="00356AE3" w:rsidP="00356AE3">
      <w:r>
        <w:t xml:space="preserve">The first thing to notice about this term is that there are diminishing returns to resolution as it is made excessively large.  Table 1 provides values of </w:t>
      </w:r>
      <w:r>
        <w:rPr>
          <w:rFonts w:ascii="Symbol" w:hAnsi="Symbol"/>
          <w:sz w:val="22"/>
        </w:rPr>
        <w:t></w:t>
      </w:r>
      <w:r>
        <w:t xml:space="preserve"> and (</w:t>
      </w:r>
      <w:r>
        <w:rPr>
          <w:rFonts w:ascii="Symbol" w:hAnsi="Symbol"/>
          <w:sz w:val="22"/>
        </w:rPr>
        <w:t></w:t>
      </w:r>
      <w:r>
        <w:t xml:space="preserve"> – 1)/</w:t>
      </w:r>
      <w:r>
        <w:rPr>
          <w:rFonts w:ascii="Symbol" w:hAnsi="Symbol"/>
          <w:sz w:val="22"/>
        </w:rPr>
        <w:t></w:t>
      </w:r>
      <w:r>
        <w:rPr>
          <w:rFonts w:ascii="Symbol" w:hAnsi="Symbol"/>
          <w:sz w:val="22"/>
        </w:rPr>
        <w:t></w:t>
      </w:r>
      <w:r>
        <w:t>.</w:t>
      </w:r>
    </w:p>
    <w:p w:rsidR="00356AE3" w:rsidRDefault="00356AE3" w:rsidP="00356AE3"/>
    <w:p w:rsidR="00356AE3" w:rsidRDefault="00356AE3" w:rsidP="00356AE3">
      <w:r w:rsidRPr="001838D9">
        <w:rPr>
          <w:b/>
        </w:rPr>
        <w:t>Table 1.</w:t>
      </w:r>
      <w:r>
        <w:t xml:space="preserve">  Values of </w:t>
      </w:r>
      <w:r>
        <w:rPr>
          <w:rFonts w:ascii="Symbol" w:hAnsi="Symbol"/>
          <w:sz w:val="22"/>
        </w:rPr>
        <w:t></w:t>
      </w:r>
      <w:r>
        <w:t xml:space="preserve"> and (</w:t>
      </w:r>
      <w:r>
        <w:rPr>
          <w:rFonts w:ascii="Symbol" w:hAnsi="Symbol"/>
          <w:sz w:val="22"/>
        </w:rPr>
        <w:t></w:t>
      </w:r>
      <w:r>
        <w:t xml:space="preserve"> – 1)/</w:t>
      </w:r>
      <w:r>
        <w:rPr>
          <w:rFonts w:ascii="Symbol" w:hAnsi="Symbol"/>
          <w:sz w:val="22"/>
        </w:rPr>
        <w:t></w:t>
      </w:r>
      <w:r>
        <w:rPr>
          <w:rFonts w:ascii="Symbol" w:hAnsi="Symbol"/>
          <w:sz w:val="22"/>
        </w:rPr>
        <w:t></w:t>
      </w:r>
      <w:r>
        <w:t>.</w:t>
      </w:r>
    </w:p>
    <w:p w:rsidR="00356AE3" w:rsidRDefault="00356AE3" w:rsidP="00356AE3"/>
    <w:p w:rsidR="00356AE3" w:rsidRDefault="00356AE3" w:rsidP="00356AE3">
      <w:pPr>
        <w:ind w:left="2160" w:firstLine="720"/>
      </w:pPr>
      <w:r w:rsidRPr="001838D9">
        <w:t xml:space="preserve">          α</w:t>
      </w:r>
      <w:r>
        <w:tab/>
      </w:r>
      <w:r>
        <w:tab/>
        <w:t xml:space="preserve">    </w:t>
      </w:r>
      <w:proofErr w:type="gramStart"/>
      <w:r>
        <w:t xml:space="preserve">   (</w:t>
      </w:r>
      <w:proofErr w:type="gramEnd"/>
      <w:r>
        <w:t>α – 1)/α</w:t>
      </w:r>
    </w:p>
    <w:p w:rsidR="00356AE3" w:rsidRDefault="00356AE3" w:rsidP="00356AE3">
      <w:pPr>
        <w:ind w:left="2880"/>
      </w:pPr>
    </w:p>
    <w:p w:rsidR="00356AE3" w:rsidRDefault="00356AE3" w:rsidP="00356AE3">
      <w:pPr>
        <w:ind w:left="2880"/>
      </w:pPr>
      <w:r>
        <w:t xml:space="preserve">          1</w:t>
      </w:r>
      <w:r>
        <w:tab/>
      </w:r>
      <w:r>
        <w:tab/>
        <w:t xml:space="preserve">           0</w:t>
      </w:r>
    </w:p>
    <w:p w:rsidR="00356AE3" w:rsidRDefault="00356AE3" w:rsidP="00356AE3">
      <w:pPr>
        <w:jc w:val="center"/>
      </w:pPr>
      <w:r>
        <w:t>2</w:t>
      </w:r>
      <w:r>
        <w:tab/>
      </w:r>
      <w:r>
        <w:tab/>
      </w:r>
      <w:r>
        <w:tab/>
      </w:r>
      <m:oMath>
        <m:f>
          <m:fPr>
            <m:type m:val="skw"/>
            <m:ctrlPr>
              <w:rPr>
                <w:rFonts w:ascii="Cambria Math" w:hAnsi="Cambria Math"/>
                <w:sz w:val="16"/>
              </w:rPr>
            </m:ctrlPr>
          </m:fPr>
          <m:num>
            <m:r>
              <m:rPr>
                <m:nor/>
              </m:rPr>
              <w:rPr>
                <w:sz w:val="16"/>
              </w:rPr>
              <m:t>1</m:t>
            </m:r>
          </m:num>
          <m:den>
            <m:r>
              <m:rPr>
                <m:nor/>
              </m:rPr>
              <w:rPr>
                <w:sz w:val="16"/>
              </w:rPr>
              <m:t>2</m:t>
            </m:r>
          </m:den>
        </m:f>
      </m:oMath>
    </w:p>
    <w:p w:rsidR="00356AE3" w:rsidRDefault="00356AE3" w:rsidP="00356AE3">
      <w:pPr>
        <w:jc w:val="center"/>
      </w:pPr>
      <w:r>
        <w:t>3</w:t>
      </w:r>
      <w:r>
        <w:tab/>
      </w:r>
      <w:r>
        <w:tab/>
      </w:r>
      <w:r>
        <w:tab/>
      </w:r>
      <m:oMath>
        <m:f>
          <m:fPr>
            <m:type m:val="skw"/>
            <m:ctrlPr>
              <w:rPr>
                <w:rFonts w:ascii="Cambria Math" w:hAnsi="Cambria Math"/>
                <w:sz w:val="16"/>
              </w:rPr>
            </m:ctrlPr>
          </m:fPr>
          <m:num>
            <m:r>
              <m:rPr>
                <m:nor/>
              </m:rPr>
              <w:rPr>
                <w:sz w:val="16"/>
              </w:rPr>
              <m:t>2</m:t>
            </m:r>
          </m:num>
          <m:den>
            <m:r>
              <m:rPr>
                <m:nor/>
              </m:rPr>
              <w:rPr>
                <w:sz w:val="16"/>
              </w:rPr>
              <m:t>3</m:t>
            </m:r>
          </m:den>
        </m:f>
      </m:oMath>
    </w:p>
    <w:p w:rsidR="00356AE3" w:rsidRDefault="00356AE3" w:rsidP="00356AE3">
      <w:pPr>
        <w:jc w:val="center"/>
      </w:pPr>
      <w:r>
        <w:t>4</w:t>
      </w:r>
      <w:r>
        <w:tab/>
      </w:r>
      <w:r>
        <w:tab/>
      </w:r>
      <w:r>
        <w:tab/>
      </w:r>
      <m:oMath>
        <m:f>
          <m:fPr>
            <m:type m:val="skw"/>
            <m:ctrlPr>
              <w:rPr>
                <w:rFonts w:ascii="Cambria Math" w:hAnsi="Cambria Math"/>
                <w:sz w:val="16"/>
              </w:rPr>
            </m:ctrlPr>
          </m:fPr>
          <m:num>
            <m:r>
              <m:rPr>
                <m:nor/>
              </m:rPr>
              <w:rPr>
                <w:sz w:val="16"/>
              </w:rPr>
              <m:t>3</m:t>
            </m:r>
          </m:num>
          <m:den>
            <m:r>
              <m:rPr>
                <m:nor/>
              </m:rPr>
              <w:rPr>
                <w:sz w:val="16"/>
              </w:rPr>
              <m:t>4</m:t>
            </m:r>
          </m:den>
        </m:f>
      </m:oMath>
    </w:p>
    <w:p w:rsidR="00356AE3" w:rsidRDefault="00356AE3" w:rsidP="00356AE3">
      <w:pPr>
        <w:jc w:val="center"/>
      </w:pPr>
      <w:r>
        <w:t>5</w:t>
      </w:r>
      <w:r>
        <w:tab/>
      </w:r>
      <w:r>
        <w:tab/>
      </w:r>
      <w:r>
        <w:tab/>
      </w:r>
      <m:oMath>
        <m:f>
          <m:fPr>
            <m:type m:val="skw"/>
            <m:ctrlPr>
              <w:rPr>
                <w:rFonts w:ascii="Cambria Math" w:hAnsi="Cambria Math"/>
                <w:sz w:val="16"/>
              </w:rPr>
            </m:ctrlPr>
          </m:fPr>
          <m:num>
            <m:r>
              <m:rPr>
                <m:nor/>
              </m:rPr>
              <w:rPr>
                <w:sz w:val="16"/>
              </w:rPr>
              <m:t>4</m:t>
            </m:r>
          </m:num>
          <m:den>
            <m:r>
              <m:rPr>
                <m:nor/>
              </m:rPr>
              <w:rPr>
                <w:sz w:val="16"/>
              </w:rPr>
              <m:t>5</m:t>
            </m:r>
          </m:den>
        </m:f>
      </m:oMath>
    </w:p>
    <w:p w:rsidR="00356AE3" w:rsidRDefault="00356AE3" w:rsidP="00356AE3">
      <w:pPr>
        <w:jc w:val="center"/>
      </w:pPr>
      <w:r>
        <w:t>6</w:t>
      </w:r>
      <w:r>
        <w:tab/>
      </w:r>
      <w:r>
        <w:tab/>
      </w:r>
      <w:r>
        <w:tab/>
      </w:r>
      <m:oMath>
        <m:f>
          <m:fPr>
            <m:type m:val="skw"/>
            <m:ctrlPr>
              <w:rPr>
                <w:rFonts w:ascii="Cambria Math" w:hAnsi="Cambria Math"/>
                <w:sz w:val="16"/>
              </w:rPr>
            </m:ctrlPr>
          </m:fPr>
          <m:num>
            <m:r>
              <m:rPr>
                <m:nor/>
              </m:rPr>
              <w:rPr>
                <w:sz w:val="16"/>
              </w:rPr>
              <m:t>5</m:t>
            </m:r>
          </m:num>
          <m:den>
            <m:r>
              <m:rPr>
                <m:nor/>
              </m:rPr>
              <w:rPr>
                <w:sz w:val="16"/>
              </w:rPr>
              <m:t>6</m:t>
            </m:r>
          </m:den>
        </m:f>
      </m:oMath>
    </w:p>
    <w:p w:rsidR="00356AE3" w:rsidRDefault="00356AE3" w:rsidP="00356AE3"/>
    <w:p w:rsidR="00356AE3" w:rsidRDefault="00356AE3" w:rsidP="00356AE3">
      <w:r>
        <w:t>Notice that the (</w:t>
      </w:r>
      <w:r>
        <w:rPr>
          <w:rFonts w:ascii="Symbol" w:hAnsi="Symbol"/>
          <w:sz w:val="22"/>
        </w:rPr>
        <w:t></w:t>
      </w:r>
      <w:r>
        <w:t xml:space="preserve"> – 1)/</w:t>
      </w:r>
      <w:r>
        <w:rPr>
          <w:rFonts w:ascii="Symbol" w:hAnsi="Symbol"/>
          <w:sz w:val="22"/>
        </w:rPr>
        <w:t></w:t>
      </w:r>
      <w:r>
        <w:t xml:space="preserve"> term approaches a value of 1 at high values of </w:t>
      </w:r>
      <w:r>
        <w:rPr>
          <w:rFonts w:ascii="Symbol" w:hAnsi="Symbol"/>
          <w:sz w:val="22"/>
        </w:rPr>
        <w:t></w:t>
      </w:r>
      <w:r>
        <w:rPr>
          <w:rFonts w:ascii="Symbol" w:hAnsi="Symbol"/>
          <w:sz w:val="22"/>
        </w:rPr>
        <w:t></w:t>
      </w:r>
      <w:r>
        <w:t xml:space="preserve"> Optimal </w:t>
      </w:r>
      <w:r>
        <w:rPr>
          <w:rFonts w:ascii="Symbol" w:hAnsi="Symbol"/>
          <w:sz w:val="22"/>
        </w:rPr>
        <w:t></w:t>
      </w:r>
      <w:r>
        <w:t xml:space="preserve">-values for most separations are between 2 and 5.  </w:t>
      </w:r>
    </w:p>
    <w:p w:rsidR="00356AE3" w:rsidRDefault="00356AE3" w:rsidP="00356AE3"/>
    <w:p w:rsidR="00356AE3" w:rsidRDefault="00356AE3" w:rsidP="00356AE3">
      <w:r>
        <w:t xml:space="preserve">Remember that the </w:t>
      </w:r>
      <w:r>
        <w:rPr>
          <w:rFonts w:ascii="Symbol" w:hAnsi="Symbol"/>
          <w:sz w:val="22"/>
        </w:rPr>
        <w:t></w:t>
      </w:r>
      <w:r>
        <w:t xml:space="preserve">-value refers to the ratio of the two partition coefficients for the two components.  If we wanted to make a substantive change in </w:t>
      </w:r>
      <w:r>
        <w:rPr>
          <w:rFonts w:ascii="Symbol" w:hAnsi="Symbol"/>
          <w:sz w:val="22"/>
        </w:rPr>
        <w:t></w:t>
      </w:r>
      <w:r>
        <w:t xml:space="preserve">, we need to change the partition coefficient of one component but not the other (or we need to change both appreciably but differently to impact the ratio).  There is really only one way to do this and it involves changing the identity of the stationary phase.  This would involve using a different liquid phase in gas chromatography.  As we will see, there are many available liquid phases for use in gas chromatography, so changing the nature of this phase and hence the </w:t>
      </w:r>
      <w:r w:rsidRPr="00B60E98">
        <w:rPr>
          <w:rFonts w:ascii="Symbol" w:hAnsi="Symbol"/>
          <w:sz w:val="22"/>
          <w:szCs w:val="22"/>
        </w:rPr>
        <w:t></w:t>
      </w:r>
      <w:r>
        <w:t>-values is a common procedure.</w:t>
      </w:r>
    </w:p>
    <w:p w:rsidR="00356AE3" w:rsidRDefault="00356AE3" w:rsidP="00356AE3"/>
    <w:p w:rsidR="00356AE3" w:rsidRDefault="00356AE3" w:rsidP="00356AE3">
      <w:r>
        <w:t>In liquid chromatography, this would mean switching from a C</w:t>
      </w:r>
      <w:r>
        <w:rPr>
          <w:vertAlign w:val="subscript"/>
        </w:rPr>
        <w:t>18</w:t>
      </w:r>
      <w:r>
        <w:t xml:space="preserve"> to some other bonded phase.  Since the range of bonded phases is more limited and changes of questionable utility in many instances, this is not done that frequently.  One thing you might wonder about is whether changing the nature of the mobile phase in liquid chromatography would be viewed as constituting a change in </w:t>
      </w:r>
      <w:r>
        <w:rPr>
          <w:rFonts w:ascii="Symbol" w:hAnsi="Symbol"/>
          <w:sz w:val="22"/>
        </w:rPr>
        <w:t></w:t>
      </w:r>
      <w:r>
        <w:t xml:space="preserve">.  This is easily done and is the most common way in liquid chromatography to improve the resolution of two substances that are not fully resolved.  It turns out that changes to the mobile phase are generally regarded as changes to the retention or capacity factor.  Usually this might involve altering some aspect of the mobile phase so that all the compounds exhibit a higher capacity, stay on the column longer, and exhibit better resolution. </w:t>
      </w:r>
    </w:p>
    <w:p w:rsidR="00356AE3" w:rsidRDefault="00356AE3" w:rsidP="00356AE3"/>
    <w:p w:rsidR="00356AE3" w:rsidRDefault="00356AE3" w:rsidP="00356AE3"/>
    <w:p w:rsidR="00356AE3" w:rsidRDefault="00356AE3" w:rsidP="00356AE3">
      <w:pPr>
        <w:rPr>
          <w:b/>
        </w:rPr>
      </w:pPr>
    </w:p>
    <w:p w:rsidR="00356AE3" w:rsidRDefault="00356AE3" w:rsidP="00356AE3">
      <w:pPr>
        <w:rPr>
          <w:b/>
        </w:rPr>
      </w:pPr>
    </w:p>
    <w:p w:rsidR="00356AE3" w:rsidRDefault="00356AE3" w:rsidP="00356AE3">
      <w:pPr>
        <w:rPr>
          <w:b/>
        </w:rPr>
      </w:pPr>
    </w:p>
    <w:p w:rsidR="00356AE3" w:rsidRDefault="00356AE3" w:rsidP="00356AE3">
      <w:pPr>
        <w:rPr>
          <w:b/>
        </w:rPr>
      </w:pPr>
    </w:p>
    <w:p w:rsidR="00356AE3" w:rsidRDefault="00356AE3" w:rsidP="00356AE3">
      <w:pPr>
        <w:rPr>
          <w:b/>
        </w:rPr>
      </w:pPr>
    </w:p>
    <w:p w:rsidR="00356AE3" w:rsidRDefault="00356AE3" w:rsidP="00356AE3">
      <w:pPr>
        <w:rPr>
          <w:b/>
        </w:rPr>
      </w:pPr>
    </w:p>
    <w:p w:rsidR="00356AE3" w:rsidRDefault="00356AE3" w:rsidP="00356AE3">
      <w:pPr>
        <w:rPr>
          <w:b/>
        </w:rPr>
      </w:pPr>
      <w:r>
        <w:rPr>
          <w:b/>
        </w:rPr>
        <w:lastRenderedPageBreak/>
        <w:t>k – Retention or capacity factor</w:t>
      </w:r>
    </w:p>
    <w:p w:rsidR="00356AE3" w:rsidRDefault="00356AE3" w:rsidP="00356AE3"/>
    <w:p w:rsidR="00356AE3" w:rsidRDefault="00356AE3" w:rsidP="00356AE3">
      <w:r>
        <w:t xml:space="preserve">Similar to the </w:t>
      </w:r>
      <w:r w:rsidRPr="00B60E98">
        <w:rPr>
          <w:rFonts w:ascii="Symbol" w:hAnsi="Symbol"/>
          <w:sz w:val="22"/>
          <w:szCs w:val="22"/>
        </w:rPr>
        <w:t></w:t>
      </w:r>
      <w:r>
        <w:t xml:space="preserve">-value term in the fundamental resolution equation, the term with k also approaches 1 at higher values of k, as seen by the data provided in Table 2. </w:t>
      </w:r>
      <w:proofErr w:type="gramStart"/>
      <w:r>
        <w:t>Therefore</w:t>
      </w:r>
      <w:proofErr w:type="gramEnd"/>
      <w:r>
        <w:t xml:space="preserve"> we can say that optimal k values are also between 2 and 5.  Also, larger k values will always lead to longer retention and analysis times.</w:t>
      </w:r>
    </w:p>
    <w:p w:rsidR="00356AE3" w:rsidRDefault="00356AE3" w:rsidP="00356AE3"/>
    <w:p w:rsidR="00356AE3" w:rsidRDefault="00356AE3" w:rsidP="00356AE3">
      <w:r w:rsidRPr="001838D9">
        <w:rPr>
          <w:b/>
        </w:rPr>
        <w:t>Table 2.</w:t>
      </w:r>
      <w:r>
        <w:t xml:space="preserve">  Values of k</w:t>
      </w:r>
      <w:r w:rsidRPr="001838D9">
        <w:rPr>
          <w:vertAlign w:val="subscript"/>
        </w:rPr>
        <w:t>2</w:t>
      </w:r>
      <w:r>
        <w:t xml:space="preserve"> and k</w:t>
      </w:r>
      <w:r>
        <w:rPr>
          <w:vertAlign w:val="subscript"/>
        </w:rPr>
        <w:t>2</w:t>
      </w:r>
      <w:proofErr w:type="gramStart"/>
      <w:r>
        <w:t>/(</w:t>
      </w:r>
      <w:proofErr w:type="gramEnd"/>
      <w:r>
        <w:t>1 + k</w:t>
      </w:r>
      <w:r>
        <w:rPr>
          <w:vertAlign w:val="subscript"/>
        </w:rPr>
        <w:t>2</w:t>
      </w:r>
      <w:r>
        <w:t>).</w:t>
      </w:r>
    </w:p>
    <w:p w:rsidR="00356AE3" w:rsidRDefault="00356AE3" w:rsidP="00356AE3"/>
    <w:p w:rsidR="00356AE3" w:rsidRPr="005E6891" w:rsidRDefault="00356AE3" w:rsidP="00356AE3">
      <w:pPr>
        <w:ind w:left="2160" w:firstLine="720"/>
      </w:pPr>
      <w:r>
        <w:t xml:space="preserve">          k</w:t>
      </w:r>
      <w:r w:rsidRPr="001838D9">
        <w:rPr>
          <w:vertAlign w:val="subscript"/>
        </w:rPr>
        <w:t>2</w:t>
      </w:r>
      <w:r>
        <w:tab/>
      </w:r>
      <w:r>
        <w:tab/>
        <w:t xml:space="preserve">     k</w:t>
      </w:r>
      <w:r>
        <w:rPr>
          <w:vertAlign w:val="subscript"/>
        </w:rPr>
        <w:t>2</w:t>
      </w:r>
      <w:proofErr w:type="gramStart"/>
      <w:r>
        <w:t>/(</w:t>
      </w:r>
      <w:proofErr w:type="gramEnd"/>
      <w:r>
        <w:t>1 + k</w:t>
      </w:r>
      <w:r>
        <w:rPr>
          <w:vertAlign w:val="subscript"/>
        </w:rPr>
        <w:t>2</w:t>
      </w:r>
      <w:r>
        <w:t>)</w:t>
      </w:r>
    </w:p>
    <w:p w:rsidR="00356AE3" w:rsidRDefault="00356AE3" w:rsidP="00356AE3">
      <w:pPr>
        <w:jc w:val="center"/>
      </w:pPr>
    </w:p>
    <w:p w:rsidR="00356AE3" w:rsidRDefault="00356AE3" w:rsidP="00356AE3">
      <w:pPr>
        <w:ind w:left="2160" w:firstLine="720"/>
      </w:pPr>
      <w:r>
        <w:t xml:space="preserve">          0</w:t>
      </w:r>
      <w:r>
        <w:tab/>
      </w:r>
      <w:r>
        <w:tab/>
        <w:t xml:space="preserve">           0</w:t>
      </w:r>
    </w:p>
    <w:p w:rsidR="00356AE3" w:rsidRDefault="00356AE3" w:rsidP="00356AE3">
      <w:pPr>
        <w:jc w:val="center"/>
      </w:pPr>
      <w:r>
        <w:t>1</w:t>
      </w:r>
      <w:r>
        <w:tab/>
      </w:r>
      <w:r>
        <w:tab/>
      </w:r>
      <w:r>
        <w:tab/>
      </w:r>
      <m:oMath>
        <m:f>
          <m:fPr>
            <m:type m:val="skw"/>
            <m:ctrlPr>
              <w:rPr>
                <w:rFonts w:ascii="Cambria Math" w:hAnsi="Cambria Math"/>
                <w:sz w:val="16"/>
              </w:rPr>
            </m:ctrlPr>
          </m:fPr>
          <m:num>
            <m:r>
              <m:rPr>
                <m:nor/>
              </m:rPr>
              <w:rPr>
                <w:sz w:val="16"/>
              </w:rPr>
              <m:t>1</m:t>
            </m:r>
          </m:num>
          <m:den>
            <m:r>
              <m:rPr>
                <m:nor/>
              </m:rPr>
              <w:rPr>
                <w:sz w:val="16"/>
              </w:rPr>
              <m:t>2</m:t>
            </m:r>
          </m:den>
        </m:f>
      </m:oMath>
    </w:p>
    <w:p w:rsidR="00356AE3" w:rsidRDefault="00356AE3" w:rsidP="00356AE3">
      <w:pPr>
        <w:jc w:val="center"/>
      </w:pPr>
      <w:r>
        <w:t>2</w:t>
      </w:r>
      <w:r>
        <w:tab/>
      </w:r>
      <w:r>
        <w:tab/>
      </w:r>
      <w:r>
        <w:tab/>
      </w:r>
      <m:oMath>
        <m:f>
          <m:fPr>
            <m:type m:val="skw"/>
            <m:ctrlPr>
              <w:rPr>
                <w:rFonts w:ascii="Cambria Math" w:hAnsi="Cambria Math"/>
                <w:sz w:val="16"/>
              </w:rPr>
            </m:ctrlPr>
          </m:fPr>
          <m:num>
            <m:r>
              <m:rPr>
                <m:nor/>
              </m:rPr>
              <w:rPr>
                <w:sz w:val="16"/>
              </w:rPr>
              <m:t>2</m:t>
            </m:r>
          </m:num>
          <m:den>
            <m:r>
              <m:rPr>
                <m:nor/>
              </m:rPr>
              <w:rPr>
                <w:sz w:val="16"/>
              </w:rPr>
              <m:t>3</m:t>
            </m:r>
          </m:den>
        </m:f>
      </m:oMath>
    </w:p>
    <w:p w:rsidR="00356AE3" w:rsidRDefault="00356AE3" w:rsidP="00356AE3">
      <w:pPr>
        <w:jc w:val="center"/>
      </w:pPr>
      <w:r>
        <w:t>3</w:t>
      </w:r>
      <w:r>
        <w:tab/>
      </w:r>
      <w:r>
        <w:tab/>
      </w:r>
      <w:r>
        <w:tab/>
      </w:r>
      <m:oMath>
        <m:f>
          <m:fPr>
            <m:type m:val="skw"/>
            <m:ctrlPr>
              <w:rPr>
                <w:rFonts w:ascii="Cambria Math" w:hAnsi="Cambria Math"/>
                <w:sz w:val="16"/>
              </w:rPr>
            </m:ctrlPr>
          </m:fPr>
          <m:num>
            <m:r>
              <m:rPr>
                <m:nor/>
              </m:rPr>
              <w:rPr>
                <w:sz w:val="16"/>
              </w:rPr>
              <m:t>3</m:t>
            </m:r>
          </m:num>
          <m:den>
            <m:r>
              <m:rPr>
                <m:nor/>
              </m:rPr>
              <w:rPr>
                <w:sz w:val="16"/>
              </w:rPr>
              <m:t>4</m:t>
            </m:r>
          </m:den>
        </m:f>
      </m:oMath>
    </w:p>
    <w:p w:rsidR="00356AE3" w:rsidRDefault="00356AE3" w:rsidP="00356AE3">
      <w:pPr>
        <w:jc w:val="center"/>
      </w:pPr>
      <w:r>
        <w:t>4</w:t>
      </w:r>
      <w:r>
        <w:tab/>
      </w:r>
      <w:r>
        <w:tab/>
      </w:r>
      <w:r>
        <w:tab/>
      </w:r>
      <m:oMath>
        <m:f>
          <m:fPr>
            <m:type m:val="skw"/>
            <m:ctrlPr>
              <w:rPr>
                <w:rFonts w:ascii="Cambria Math" w:hAnsi="Cambria Math"/>
                <w:sz w:val="16"/>
              </w:rPr>
            </m:ctrlPr>
          </m:fPr>
          <m:num>
            <m:r>
              <m:rPr>
                <m:nor/>
              </m:rPr>
              <w:rPr>
                <w:sz w:val="16"/>
              </w:rPr>
              <m:t>4</m:t>
            </m:r>
          </m:num>
          <m:den>
            <m:r>
              <m:rPr>
                <m:nor/>
              </m:rPr>
              <w:rPr>
                <w:sz w:val="16"/>
              </w:rPr>
              <m:t>5</m:t>
            </m:r>
          </m:den>
        </m:f>
      </m:oMath>
    </w:p>
    <w:p w:rsidR="00356AE3" w:rsidRDefault="00356AE3" w:rsidP="00356AE3">
      <w:pPr>
        <w:jc w:val="center"/>
      </w:pPr>
      <w:r>
        <w:t>5</w:t>
      </w:r>
      <w:r>
        <w:tab/>
      </w:r>
      <w:r>
        <w:tab/>
      </w:r>
      <w:r>
        <w:tab/>
      </w:r>
      <m:oMath>
        <m:f>
          <m:fPr>
            <m:type m:val="skw"/>
            <m:ctrlPr>
              <w:rPr>
                <w:rFonts w:ascii="Cambria Math" w:hAnsi="Cambria Math"/>
                <w:sz w:val="16"/>
              </w:rPr>
            </m:ctrlPr>
          </m:fPr>
          <m:num>
            <m:r>
              <m:rPr>
                <m:nor/>
              </m:rPr>
              <w:rPr>
                <w:sz w:val="16"/>
              </w:rPr>
              <m:t>5</m:t>
            </m:r>
          </m:num>
          <m:den>
            <m:r>
              <m:rPr>
                <m:nor/>
              </m:rPr>
              <w:rPr>
                <w:sz w:val="16"/>
              </w:rPr>
              <m:t>6</m:t>
            </m:r>
          </m:den>
        </m:f>
      </m:oMath>
    </w:p>
    <w:p w:rsidR="00356AE3" w:rsidRDefault="00356AE3" w:rsidP="00356AE3"/>
    <w:p w:rsidR="00356AE3" w:rsidRDefault="00356AE3" w:rsidP="00356AE3">
      <w:r>
        <w:t>Remember that we defined k earlier in the course as:</w:t>
      </w:r>
    </w:p>
    <w:p w:rsidR="00356AE3" w:rsidRDefault="00356AE3" w:rsidP="00356AE3"/>
    <w:p w:rsidR="00356AE3" w:rsidRPr="00A37349" w:rsidRDefault="00356AE3" w:rsidP="00356AE3">
      <w:pPr>
        <w:jc w:val="center"/>
      </w:pPr>
      <m:oMathPara>
        <m:oMath>
          <m:sSub>
            <m:sSubPr>
              <m:ctrlPr>
                <w:rPr>
                  <w:rFonts w:ascii="Cambria Math" w:hAnsi="Cambria Math"/>
                  <w:i/>
                </w:rPr>
              </m:ctrlPr>
            </m:sSubPr>
            <m:e>
              <m:r>
                <m:rPr>
                  <m:nor/>
                </m:rPr>
                <m:t>k</m:t>
              </m:r>
            </m:e>
            <m:sub>
              <m:r>
                <m:rPr>
                  <m:nor/>
                </m:rPr>
                <m:t>2</m:t>
              </m:r>
            </m:sub>
          </m:sSub>
          <m:r>
            <m:rPr>
              <m:nor/>
            </m:rPr>
            <m:t xml:space="preserve"> = </m:t>
          </m:r>
          <m:sSub>
            <m:sSubPr>
              <m:ctrlPr>
                <w:rPr>
                  <w:rFonts w:ascii="Cambria Math" w:hAnsi="Cambria Math"/>
                  <w:i/>
                </w:rPr>
              </m:ctrlPr>
            </m:sSubPr>
            <m:e>
              <m:r>
                <m:rPr>
                  <m:nor/>
                </m:rPr>
                <m:t>K</m:t>
              </m:r>
            </m:e>
            <m:sub>
              <m:r>
                <m:rPr>
                  <m:nor/>
                </m:rPr>
                <m:t>2</m:t>
              </m:r>
            </m:sub>
          </m:sSub>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m:t>V</m:t>
                      </m:r>
                    </m:e>
                    <m:sub>
                      <m:r>
                        <m:rPr>
                          <m:nor/>
                        </m:rPr>
                        <m:t>S</m:t>
                      </m:r>
                    </m:sub>
                  </m:sSub>
                </m:num>
                <m:den>
                  <m:sSub>
                    <m:sSubPr>
                      <m:ctrlPr>
                        <w:rPr>
                          <w:rFonts w:ascii="Cambria Math" w:hAnsi="Cambria Math"/>
                          <w:i/>
                        </w:rPr>
                      </m:ctrlPr>
                    </m:sSubPr>
                    <m:e>
                      <m:r>
                        <m:rPr>
                          <m:nor/>
                        </m:rPr>
                        <m:t>V</m:t>
                      </m:r>
                    </m:e>
                    <m:sub>
                      <m:r>
                        <m:rPr>
                          <m:nor/>
                        </m:rPr>
                        <m:t>M</m:t>
                      </m:r>
                    </m:sub>
                  </m:sSub>
                </m:den>
              </m:f>
            </m:e>
          </m:d>
        </m:oMath>
      </m:oMathPara>
    </w:p>
    <w:p w:rsidR="00356AE3" w:rsidRDefault="00356AE3" w:rsidP="00356AE3"/>
    <w:p w:rsidR="00356AE3" w:rsidRDefault="00356AE3" w:rsidP="00356AE3">
      <w:proofErr w:type="gramStart"/>
      <w:r>
        <w:t>So</w:t>
      </w:r>
      <w:proofErr w:type="gramEnd"/>
      <w:r>
        <w:t xml:space="preserve"> anything that alters any of the terms of this equation will lead to a change in k.  As we already mentioned above, the most common way to change k in liquid chromatography is to alter the constituents of the mobile phase.  This will change the distribution constant (K</w:t>
      </w:r>
      <w:r>
        <w:rPr>
          <w:vertAlign w:val="subscript"/>
        </w:rPr>
        <w:t>2</w:t>
      </w:r>
      <w:r>
        <w:t xml:space="preserve">), and if the correct change is made, make </w:t>
      </w:r>
      <w:smartTag w:uri="urn:schemas-microsoft-com:office:smarttags" w:element="place">
        <w:r>
          <w:t>K</w:t>
        </w:r>
        <w:r>
          <w:rPr>
            <w:vertAlign w:val="subscript"/>
          </w:rPr>
          <w:t>2</w:t>
        </w:r>
      </w:smartTag>
      <w:r>
        <w:t xml:space="preserve"> larger and k larger.  The analog to this in gas chromatography is to change the temperature.  Recall that:</w:t>
      </w:r>
    </w:p>
    <w:p w:rsidR="00356AE3" w:rsidRDefault="00356AE3" w:rsidP="00356AE3"/>
    <w:p w:rsidR="00356AE3" w:rsidRPr="00A37349" w:rsidRDefault="00356AE3" w:rsidP="00356AE3">
      <w:pPr>
        <w:jc w:val="center"/>
      </w:pPr>
      <m:oMathPara>
        <m:oMath>
          <m:sSub>
            <m:sSubPr>
              <m:ctrlPr>
                <w:rPr>
                  <w:rFonts w:ascii="Cambria Math" w:hAnsi="Cambria Math"/>
                  <w:i/>
                </w:rPr>
              </m:ctrlPr>
            </m:sSubPr>
            <m:e>
              <m:r>
                <m:rPr>
                  <m:nor/>
                </m:rPr>
                <m:t>K</m:t>
              </m:r>
            </m:e>
            <m:sub>
              <m:r>
                <m:rPr>
                  <m:nor/>
                </m:rPr>
                <m:t>2</m:t>
              </m:r>
            </m:sub>
          </m:sSub>
          <m:r>
            <m:rPr>
              <m:nor/>
            </m:rPr>
            <m:t xml:space="preserve"> = </m:t>
          </m:r>
          <m:f>
            <m:fPr>
              <m:ctrlPr>
                <w:rPr>
                  <w:rFonts w:ascii="Cambria Math" w:hAnsi="Cambria Math"/>
                  <w:i/>
                </w:rPr>
              </m:ctrlPr>
            </m:fPr>
            <m:num>
              <m:sSub>
                <m:sSubPr>
                  <m:ctrlPr>
                    <w:rPr>
                      <w:rFonts w:ascii="Cambria Math" w:hAnsi="Cambria Math"/>
                      <w:i/>
                    </w:rPr>
                  </m:ctrlPr>
                </m:sSubPr>
                <m:e>
                  <m:r>
                    <m:rPr>
                      <m:nor/>
                    </m:rPr>
                    <m:t>C</m:t>
                  </m:r>
                </m:e>
                <m:sub>
                  <m:r>
                    <m:rPr>
                      <m:nor/>
                    </m:rPr>
                    <m:t>S</m:t>
                  </m:r>
                </m:sub>
              </m:sSub>
            </m:num>
            <m:den>
              <m:sSub>
                <m:sSubPr>
                  <m:ctrlPr>
                    <w:rPr>
                      <w:rFonts w:ascii="Cambria Math" w:hAnsi="Cambria Math"/>
                      <w:i/>
                    </w:rPr>
                  </m:ctrlPr>
                </m:sSubPr>
                <m:e>
                  <m:r>
                    <m:rPr>
                      <m:nor/>
                    </m:rPr>
                    <m:t>C</m:t>
                  </m:r>
                </m:e>
                <m:sub>
                  <m:r>
                    <m:rPr>
                      <m:nor/>
                    </m:rPr>
                    <m:t>M</m:t>
                  </m:r>
                </m:sub>
              </m:sSub>
            </m:den>
          </m:f>
        </m:oMath>
      </m:oMathPara>
    </w:p>
    <w:p w:rsidR="00356AE3" w:rsidRDefault="00356AE3" w:rsidP="00356AE3"/>
    <w:p w:rsidR="00356AE3" w:rsidRDefault="00356AE3" w:rsidP="00356AE3">
      <w:r>
        <w:t>We could consider what happens to this ratio as the temperature is changed.  The stationary phase is a liquid.  The mobile phase is a gas.  Hotter temperatures reduce the solubility of a gas in a liquid (warm soda will go flatter faster).  Thermal pollution refers to the reduction in the concentration of dissolved oxygen gas when warm water from a power plant or industrial cooling process is added to a river or lake.  So hotter temperatures will reduce C</w:t>
      </w:r>
      <w:r>
        <w:rPr>
          <w:vertAlign w:val="subscript"/>
        </w:rPr>
        <w:t>S</w:t>
      </w:r>
      <w:r>
        <w:t>, reduce K</w:t>
      </w:r>
      <w:r>
        <w:rPr>
          <w:vertAlign w:val="subscript"/>
        </w:rPr>
        <w:t>2</w:t>
      </w:r>
      <w:r>
        <w:t xml:space="preserve"> and reduce k.  This would actually make the resolution worse.  </w:t>
      </w:r>
      <w:proofErr w:type="gramStart"/>
      <w:r>
        <w:t>So</w:t>
      </w:r>
      <w:proofErr w:type="gramEnd"/>
      <w:r>
        <w:t xml:space="preserve"> by cooling down a gas chromatographic column, we increase the retention factor and improve the resolution.  Of course, this also lengthens the analysis time, which may be undesirable.</w:t>
      </w:r>
    </w:p>
    <w:p w:rsidR="00356AE3" w:rsidRDefault="00356AE3" w:rsidP="00356AE3"/>
    <w:p w:rsidR="00356AE3" w:rsidRDefault="00356AE3" w:rsidP="00356AE3">
      <w:r>
        <w:t>If we examine the volume terms, we realize that it is difficult to change V</w:t>
      </w:r>
      <w:r>
        <w:rPr>
          <w:vertAlign w:val="subscript"/>
        </w:rPr>
        <w:t>M</w:t>
      </w:r>
      <w:r>
        <w:t>, the volume of the mobile phase. V</w:t>
      </w:r>
      <w:r>
        <w:rPr>
          <w:vertAlign w:val="subscript"/>
        </w:rPr>
        <w:t>M</w:t>
      </w:r>
      <w:r>
        <w:t xml:space="preserve"> is the interstitial volume and is essentially fixed for a particular particle size. There is no way to crunch the particles closer together to reduce V</w:t>
      </w:r>
      <w:r>
        <w:rPr>
          <w:vertAlign w:val="subscript"/>
        </w:rPr>
        <w:t>M</w:t>
      </w:r>
      <w:r>
        <w:t>.  In gas chromatography, it is easy to alter V</w:t>
      </w:r>
      <w:r>
        <w:rPr>
          <w:vertAlign w:val="subscript"/>
        </w:rPr>
        <w:t>S</w:t>
      </w:r>
      <w:r>
        <w:t>, the volume of the stationary phase.  This would involve coating a thicker loading (e.g., instead of 3% liquid coating, raise it to 5%).  Changing V</w:t>
      </w:r>
      <w:r>
        <w:rPr>
          <w:vertAlign w:val="subscript"/>
        </w:rPr>
        <w:t>S</w:t>
      </w:r>
      <w:r>
        <w:t xml:space="preserve"> in liquid </w:t>
      </w:r>
      <w:r>
        <w:lastRenderedPageBreak/>
        <w:t>chromatography really is not an option since we have bonded C</w:t>
      </w:r>
      <w:r>
        <w:rPr>
          <w:vertAlign w:val="subscript"/>
        </w:rPr>
        <w:t>18</w:t>
      </w:r>
      <w:r>
        <w:t xml:space="preserve"> groups and do not coat different thickness phases.  If we change the particle size from 5 µm to 3 µm, and keep everything else, we do create more capacity in the column (because the 3 µm particles have more surface area), but we create more plates as well.</w:t>
      </w:r>
    </w:p>
    <w:p w:rsidR="00356AE3" w:rsidRDefault="00356AE3" w:rsidP="00356AE3"/>
    <w:p w:rsidR="00356AE3" w:rsidRDefault="00356AE3" w:rsidP="00356AE3">
      <w:r>
        <w:t>Consider the chromatogram in Figure 47.  We observe two problems with this separation.  The first few compounds come out of the column very quickly and are not fully resolved.  The latter compounds are fully resolved but stay in the column too long and are very broad.</w:t>
      </w:r>
    </w:p>
    <w:p w:rsidR="00356AE3" w:rsidRDefault="00356AE3" w:rsidP="00356AE3"/>
    <w:p w:rsidR="00356AE3" w:rsidRDefault="00356AE3" w:rsidP="00356AE3">
      <w:pPr>
        <w:jc w:val="center"/>
      </w:pPr>
      <w:r>
        <w:rPr>
          <w:noProof/>
          <w:snapToGrid/>
        </w:rPr>
        <mc:AlternateContent>
          <mc:Choice Requires="wps">
            <w:drawing>
              <wp:anchor distT="0" distB="0" distL="114300" distR="114300" simplePos="0" relativeHeight="251659264" behindDoc="0" locked="0" layoutInCell="1" allowOverlap="1" wp14:anchorId="293AD016" wp14:editId="504D9D54">
                <wp:simplePos x="0" y="0"/>
                <wp:positionH relativeFrom="column">
                  <wp:posOffset>57150</wp:posOffset>
                </wp:positionH>
                <wp:positionV relativeFrom="paragraph">
                  <wp:posOffset>681990</wp:posOffset>
                </wp:positionV>
                <wp:extent cx="457200" cy="314325"/>
                <wp:effectExtent l="0" t="0" r="0" b="3810"/>
                <wp:wrapNone/>
                <wp:docPr id="1675"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AE3" w:rsidRDefault="00356AE3" w:rsidP="00356AE3">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AD016" id="_x0000_t202" coordsize="21600,21600" o:spt="202" path="m,l,21600r21600,l21600,xe">
                <v:stroke joinstyle="miter"/>
                <v:path gradientshapeok="t" o:connecttype="rect"/>
              </v:shapetype>
              <v:shape id="Text Box 187" o:spid="_x0000_s1026" type="#_x0000_t202" style="position:absolute;left:0;text-align:left;margin-left:4.5pt;margin-top:53.7pt;width:36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" filled="f" stroked="f">
                <v:textbox>
                  <w:txbxContent>
                    <w:p w:rsidR="00356AE3" w:rsidRDefault="00356AE3" w:rsidP="00356AE3">
                      <w:r>
                        <w:t>INJ</w:t>
                      </w:r>
                    </w:p>
                  </w:txbxContent>
                </v:textbox>
              </v:shape>
            </w:pict>
          </mc:Fallback>
        </mc:AlternateContent>
      </w:r>
      <w:r>
        <w:rPr>
          <w:noProof/>
          <w:snapToGrid/>
        </w:rPr>
        <w:drawing>
          <wp:inline distT="0" distB="0" distL="0" distR="0" wp14:anchorId="4C998857" wp14:editId="39104FDE">
            <wp:extent cx="5467350" cy="752475"/>
            <wp:effectExtent l="0" t="0" r="0" b="9525"/>
            <wp:docPr id="93"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67350" cy="752475"/>
                    </a:xfrm>
                    <a:prstGeom prst="rect">
                      <a:avLst/>
                    </a:prstGeom>
                    <a:noFill/>
                    <a:ln>
                      <a:noFill/>
                    </a:ln>
                  </pic:spPr>
                </pic:pic>
              </a:graphicData>
            </a:graphic>
          </wp:inline>
        </w:drawing>
      </w:r>
    </w:p>
    <w:p w:rsidR="00356AE3" w:rsidRDefault="00356AE3" w:rsidP="00356AE3"/>
    <w:p w:rsidR="00356AE3" w:rsidRDefault="00356AE3" w:rsidP="00356AE3"/>
    <w:p w:rsidR="00356AE3" w:rsidRDefault="00356AE3" w:rsidP="00356AE3">
      <w:r w:rsidRPr="001838D9">
        <w:rPr>
          <w:b/>
        </w:rPr>
        <w:t>Figure 4</w:t>
      </w:r>
      <w:r>
        <w:rPr>
          <w:b/>
        </w:rPr>
        <w:t>7</w:t>
      </w:r>
      <w:r w:rsidRPr="001838D9">
        <w:rPr>
          <w:b/>
        </w:rPr>
        <w:t>.</w:t>
      </w:r>
      <w:r>
        <w:t xml:space="preserve"> Chromatogram with non-optimal k values for the earlier and later eluting compounds.</w:t>
      </w:r>
    </w:p>
    <w:p w:rsidR="00356AE3" w:rsidRDefault="00356AE3" w:rsidP="00356AE3"/>
    <w:p w:rsidR="00356AE3" w:rsidRDefault="00356AE3" w:rsidP="00356AE3">
      <w:r>
        <w:t xml:space="preserve">What problem exists in this separation?  If we were to enlarge N to improve the resolution of the first few compounds, we would lengthen the retention time of the latter ones as well, which would be unacceptable.  If we changed </w:t>
      </w:r>
      <w:r>
        <w:rPr>
          <w:rFonts w:ascii="Symbol" w:hAnsi="Symbol"/>
          <w:sz w:val="22"/>
        </w:rPr>
        <w:t></w:t>
      </w:r>
      <w:r>
        <w:t xml:space="preserve">, it might resolve some of the overlapped constituents but might cause some that are already resolved to now overlap with each other.  We have a capacity problem (k) in this chromatogram.  The first few compounds do not have enough capacity and would benefit by spending more time in the stationary phase.  The latter few have too high a retention factor and are spending too much time in the stationary phase.  What we say is that a chromatogram has a limited peak capacity.  In other words, it is only possible to separate a certain </w:t>
      </w:r>
      <w:proofErr w:type="gramStart"/>
      <w:r>
        <w:t>amount</w:t>
      </w:r>
      <w:proofErr w:type="gramEnd"/>
      <w:r>
        <w:t xml:space="preserve"> of compounds within a fixed period of time in the chromatogram.  There is only some number of peaks that can be fit in side by side before they start to overlap with each other.</w:t>
      </w:r>
    </w:p>
    <w:p w:rsidR="00356AE3" w:rsidRDefault="00356AE3" w:rsidP="00356AE3"/>
    <w:p w:rsidR="00356AE3" w:rsidRDefault="00356AE3" w:rsidP="00356AE3">
      <w:r>
        <w:t>In gas chromatography, there is a way to address these problems during the chromatogram so that all of the constituents are chromatographed at a k value that is more optimal.  If we lowered the temperature during the early portion of the chromatogram, we would raise the retention factor of these constituents of the sample and they would stay on the column longer.  If we raised the temperature during the latter portion of the chromatogram, we would lower the retention factor of these constituents and they would come off of the column faster.  This systematic raise in temperature during the chromatogram is known as a temperature program.  Most gas chromatograms are obtained using temperature programming rather than isothermal conditions.  The temperature program chromatogram for the same mixture is shown in Figure 48.</w:t>
      </w:r>
    </w:p>
    <w:p w:rsidR="00356AE3" w:rsidRDefault="00356AE3" w:rsidP="00356AE3"/>
    <w:p w:rsidR="00356AE3" w:rsidRDefault="00356AE3" w:rsidP="00356AE3">
      <w:pPr>
        <w:jc w:val="center"/>
      </w:pPr>
      <w:r>
        <w:rPr>
          <w:noProof/>
          <w:snapToGrid/>
        </w:rPr>
        <mc:AlternateContent>
          <mc:Choice Requires="wps">
            <w:drawing>
              <wp:anchor distT="0" distB="0" distL="114300" distR="114300" simplePos="0" relativeHeight="251660288" behindDoc="0" locked="0" layoutInCell="1" allowOverlap="1" wp14:anchorId="41D4BE75" wp14:editId="199B5AEF">
                <wp:simplePos x="0" y="0"/>
                <wp:positionH relativeFrom="column">
                  <wp:posOffset>47625</wp:posOffset>
                </wp:positionH>
                <wp:positionV relativeFrom="paragraph">
                  <wp:posOffset>864870</wp:posOffset>
                </wp:positionV>
                <wp:extent cx="457200" cy="314325"/>
                <wp:effectExtent l="0" t="0" r="0" b="1905"/>
                <wp:wrapNone/>
                <wp:docPr id="1674"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6AE3" w:rsidRDefault="00356AE3" w:rsidP="00356AE3">
                            <w:r>
                              <w:t>INJ</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D4BE75" id="Text Box 188" o:spid="_x0000_s1027" type="#_x0000_t202" style="position:absolute;left:0;text-align:left;margin-left:3.75pt;margin-top:68.1pt;width:36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" filled="f" stroked="f">
                <v:textbox>
                  <w:txbxContent>
                    <w:p w:rsidR="00356AE3" w:rsidRDefault="00356AE3" w:rsidP="00356AE3">
                      <w:r>
                        <w:t>INJ</w:t>
                      </w:r>
                    </w:p>
                  </w:txbxContent>
                </v:textbox>
              </v:shape>
            </w:pict>
          </mc:Fallback>
        </mc:AlternateContent>
      </w:r>
      <w:r>
        <w:rPr>
          <w:noProof/>
          <w:snapToGrid/>
        </w:rPr>
        <w:drawing>
          <wp:inline distT="0" distB="0" distL="0" distR="0" wp14:anchorId="77FC40C9" wp14:editId="234E678A">
            <wp:extent cx="5467350" cy="923925"/>
            <wp:effectExtent l="0" t="0" r="0" b="9525"/>
            <wp:docPr id="94"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67350" cy="923925"/>
                    </a:xfrm>
                    <a:prstGeom prst="rect">
                      <a:avLst/>
                    </a:prstGeom>
                    <a:noFill/>
                    <a:ln>
                      <a:noFill/>
                    </a:ln>
                  </pic:spPr>
                </pic:pic>
              </a:graphicData>
            </a:graphic>
          </wp:inline>
        </w:drawing>
      </w:r>
    </w:p>
    <w:p w:rsidR="00356AE3" w:rsidRDefault="00356AE3" w:rsidP="00356AE3"/>
    <w:p w:rsidR="00356AE3" w:rsidRDefault="00356AE3" w:rsidP="00356AE3"/>
    <w:p w:rsidR="00356AE3" w:rsidRDefault="00356AE3" w:rsidP="00356AE3">
      <w:r w:rsidRPr="001838D9">
        <w:rPr>
          <w:b/>
        </w:rPr>
        <w:t>Figure 4</w:t>
      </w:r>
      <w:r>
        <w:rPr>
          <w:b/>
        </w:rPr>
        <w:t>8</w:t>
      </w:r>
      <w:r w:rsidRPr="001838D9">
        <w:rPr>
          <w:b/>
        </w:rPr>
        <w:t>.</w:t>
      </w:r>
      <w:r>
        <w:t xml:space="preserve"> Chromatogram with more optimal k values.</w:t>
      </w:r>
    </w:p>
    <w:p w:rsidR="00356AE3" w:rsidRDefault="00356AE3" w:rsidP="00356AE3"/>
    <w:p w:rsidR="00712E76" w:rsidRDefault="00356AE3">
      <w:r>
        <w:t>There is an analogous procedure in liquid chromatography that is known as gradient elution.  In this technique, you start with a mobile phase that causes the constituents of the sample to have a high retention factor and then systematically vary the mobile phase during the run to lower the capacity of the constituents.  The exact nature of the changes that might be made to accomplish this will be discussed later in our unit.</w:t>
      </w:r>
      <w:bookmarkStart w:id="0" w:name="_GoBack"/>
      <w:bookmarkEnd w:id="0"/>
    </w:p>
    <w:sectPr w:rsidR="00712E76" w:rsidSect="00356AE3">
      <w:footerReference w:type="even" r:id="rId6"/>
      <w:footerReference w:type="default" r:id="rId7"/>
      <w:endnotePr>
        <w:numFmt w:val="decimal"/>
      </w:endnotePr>
      <w:pgSz w:w="12240" w:h="15840"/>
      <w:pgMar w:top="1440" w:right="1440" w:bottom="1440" w:left="1440" w:header="1440" w:footer="525"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356A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C52AF6" w:rsidRDefault="00356A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AF6" w:rsidRDefault="00356A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C52AF6" w:rsidRDefault="00356AE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AE3"/>
    <w:rsid w:val="00356AE3"/>
    <w:rsid w:val="0071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54DDCC5"/>
  <w15:chartTrackingRefBased/>
  <w15:docId w15:val="{BF0785F1-CB40-4317-84EC-25606A063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6AE3"/>
    <w:pPr>
      <w:widowControl w:val="0"/>
      <w:spacing w:after="0" w:line="240" w:lineRule="auto"/>
    </w:pPr>
    <w:rPr>
      <w:rFonts w:ascii="Times New Roman" w:eastAsia="Times New Roman" w:hAnsi="Times New Roman" w:cs="Times New Roman"/>
      <w:snapToGrid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6AE3"/>
    <w:rPr>
      <w:b/>
    </w:rPr>
  </w:style>
  <w:style w:type="character" w:customStyle="1" w:styleId="BodyTextChar">
    <w:name w:val="Body Text Char"/>
    <w:basedOn w:val="DefaultParagraphFont"/>
    <w:link w:val="BodyText"/>
    <w:rsid w:val="00356AE3"/>
    <w:rPr>
      <w:rFonts w:ascii="Times New Roman" w:eastAsia="Times New Roman" w:hAnsi="Times New Roman" w:cs="Times New Roman"/>
      <w:b/>
      <w:snapToGrid w:val="0"/>
      <w:sz w:val="24"/>
      <w:szCs w:val="20"/>
    </w:rPr>
  </w:style>
  <w:style w:type="paragraph" w:styleId="Footer">
    <w:name w:val="footer"/>
    <w:basedOn w:val="Normal"/>
    <w:link w:val="FooterChar"/>
    <w:rsid w:val="00356AE3"/>
    <w:pPr>
      <w:tabs>
        <w:tab w:val="center" w:pos="4320"/>
        <w:tab w:val="right" w:pos="8640"/>
      </w:tabs>
    </w:pPr>
  </w:style>
  <w:style w:type="character" w:customStyle="1" w:styleId="FooterChar">
    <w:name w:val="Footer Char"/>
    <w:basedOn w:val="DefaultParagraphFont"/>
    <w:link w:val="Footer"/>
    <w:rsid w:val="00356AE3"/>
    <w:rPr>
      <w:rFonts w:ascii="Times New Roman" w:eastAsia="Times New Roman" w:hAnsi="Times New Roman" w:cs="Times New Roman"/>
      <w:snapToGrid w:val="0"/>
      <w:sz w:val="24"/>
      <w:szCs w:val="20"/>
    </w:rPr>
  </w:style>
  <w:style w:type="character" w:styleId="PageNumber">
    <w:name w:val="page number"/>
    <w:basedOn w:val="DefaultParagraphFont"/>
    <w:rsid w:val="00356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1470</Words>
  <Characters>8380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2020-12-28T17:56:00Z</dcterms:created>
  <dcterms:modified xsi:type="dcterms:W3CDTF">2020-12-28T17:56:00Z</dcterms:modified>
</cp:coreProperties>
</file>