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39B3" w:rsidRPr="000D361C" w:rsidRDefault="00C239B3" w:rsidP="00C239B3">
      <w:pPr>
        <w:rPr>
          <w:b/>
        </w:rPr>
      </w:pPr>
      <w:bookmarkStart w:id="0" w:name="_GoBack"/>
      <w:bookmarkEnd w:id="0"/>
      <w:r w:rsidRPr="000D361C">
        <w:rPr>
          <w:b/>
        </w:rPr>
        <w:t>4.  INFRARED SPECTROSCOPY</w:t>
      </w:r>
    </w:p>
    <w:p w:rsidR="00C239B3" w:rsidRPr="000D361C" w:rsidRDefault="00C239B3" w:rsidP="00C239B3"/>
    <w:p w:rsidR="00C239B3" w:rsidRPr="000D361C" w:rsidRDefault="00C239B3" w:rsidP="00C239B3">
      <w:pPr>
        <w:rPr>
          <w:b/>
        </w:rPr>
      </w:pPr>
      <w:r w:rsidRPr="000D361C">
        <w:rPr>
          <w:b/>
        </w:rPr>
        <w:t>4.1.  Introduction</w:t>
      </w:r>
    </w:p>
    <w:p w:rsidR="00C239B3" w:rsidRPr="000D361C" w:rsidRDefault="00C239B3" w:rsidP="00C239B3"/>
    <w:p w:rsidR="00C239B3" w:rsidRPr="000D361C" w:rsidRDefault="00C239B3" w:rsidP="00C239B3">
      <w:r w:rsidRPr="000D361C">
        <w:t>Infrared radiation is the proper energy to excite vibrations in molecules.  The IR spectrum consists of near (4,000-12,800 cm</w:t>
      </w:r>
      <w:r w:rsidRPr="000D361C">
        <w:rPr>
          <w:vertAlign w:val="superscript"/>
        </w:rPr>
        <w:t>-1</w:t>
      </w:r>
      <w:r w:rsidRPr="000D361C">
        <w:t>), mid (200-4,000 cm</w:t>
      </w:r>
      <w:r w:rsidRPr="000D361C">
        <w:rPr>
          <w:vertAlign w:val="superscript"/>
        </w:rPr>
        <w:t>-1</w:t>
      </w:r>
      <w:r w:rsidRPr="000D361C">
        <w:t>) and far (10-200 cm</w:t>
      </w:r>
      <w:r w:rsidRPr="000D361C">
        <w:rPr>
          <w:vertAlign w:val="superscript"/>
        </w:rPr>
        <w:t>-1</w:t>
      </w:r>
      <w:r w:rsidRPr="000D361C">
        <w:t>) regions.  The mid-IR region is most commonly used for analysis purposes.  Vibrational excitations correspond to changes in the internuclear distances within molecules.  You have likely recorded infrared spectra in your organic chemistry course.  Thinking back to the instrument you used to record the spectrum, consider the following question.</w:t>
      </w:r>
    </w:p>
    <w:p w:rsidR="00C239B3" w:rsidRPr="000D361C" w:rsidRDefault="00C239B3" w:rsidP="00C239B3"/>
    <w:p w:rsidR="00C239B3" w:rsidRPr="000D361C" w:rsidRDefault="00C239B3" w:rsidP="00C239B3">
      <w:pPr>
        <w:rPr>
          <w:b/>
        </w:rPr>
      </w:pPr>
      <w:r w:rsidRPr="000D361C">
        <w:rPr>
          <w:b/>
        </w:rPr>
        <w:t>Can infrared spectra be recorded in air?  If so, what does this say about the major constituents of air?</w:t>
      </w:r>
    </w:p>
    <w:p w:rsidR="00C239B3" w:rsidRPr="000D361C" w:rsidRDefault="00C239B3" w:rsidP="00C239B3"/>
    <w:p w:rsidR="00C239B3" w:rsidRPr="000D361C" w:rsidRDefault="00C239B3" w:rsidP="00C239B3">
      <w:r w:rsidRPr="000D361C">
        <w:t>Thinking back to the instrument you used in your organic chemistry course, you presumably realize that no attempt was made to remove air from the system.  The beam of infrared radiation passed through the air, indicating that the major constituents of air (nitrogen gas, N</w:t>
      </w:r>
      <w:r w:rsidRPr="000D361C">
        <w:rPr>
          <w:vertAlign w:val="subscript"/>
        </w:rPr>
        <w:t>2</w:t>
      </w:r>
      <w:r w:rsidRPr="000D361C">
        <w:t>, and oxygen as, O</w:t>
      </w:r>
      <w:r w:rsidRPr="000D361C">
        <w:rPr>
          <w:vertAlign w:val="subscript"/>
        </w:rPr>
        <w:t>2</w:t>
      </w:r>
      <w:r w:rsidRPr="000D361C">
        <w:t>) either do not absorb infrared radiation or absorb in another region of the spectrum.  You likely know that double and triple bonds have strong absorptions in the mid-IR region of the spectrum.  N</w:t>
      </w:r>
      <w:r w:rsidRPr="000D361C">
        <w:rPr>
          <w:vertAlign w:val="subscript"/>
        </w:rPr>
        <w:t>2</w:t>
      </w:r>
      <w:r w:rsidRPr="000D361C">
        <w:t xml:space="preserve"> and O</w:t>
      </w:r>
      <w:r w:rsidRPr="000D361C">
        <w:rPr>
          <w:vertAlign w:val="subscript"/>
        </w:rPr>
        <w:t>2</w:t>
      </w:r>
      <w:r w:rsidRPr="000D361C">
        <w:t xml:space="preserve"> have triple and double bonds, respectively, so it turns out that N</w:t>
      </w:r>
      <w:r w:rsidRPr="000D361C">
        <w:rPr>
          <w:vertAlign w:val="subscript"/>
        </w:rPr>
        <w:t>2</w:t>
      </w:r>
      <w:r w:rsidRPr="000D361C">
        <w:t xml:space="preserve"> and O</w:t>
      </w:r>
      <w:r w:rsidRPr="000D361C">
        <w:rPr>
          <w:vertAlign w:val="subscript"/>
        </w:rPr>
        <w:t>2</w:t>
      </w:r>
      <w:r w:rsidRPr="000D361C">
        <w:t xml:space="preserve"> do not absorb infrared radiation.  There are certainly minor constituents of the air (e.g. carbon dioxide) that do absorb infrared radiation, and these are accounted for by either using a dual beam configuration on a continuous wave infrared spectrophotometer or by recording a background spectrum on a </w:t>
      </w:r>
      <w:proofErr w:type="spellStart"/>
      <w:r w:rsidRPr="000D361C">
        <w:t>fourier</w:t>
      </w:r>
      <w:proofErr w:type="spellEnd"/>
      <w:r w:rsidRPr="000D361C">
        <w:t xml:space="preserve"> transform infrared spectrophotometer.</w:t>
      </w:r>
    </w:p>
    <w:p w:rsidR="00C239B3" w:rsidRPr="000D361C" w:rsidRDefault="00C239B3" w:rsidP="00C239B3"/>
    <w:p w:rsidR="00C239B3" w:rsidRPr="000D361C" w:rsidRDefault="00C239B3" w:rsidP="00C239B3">
      <w:pPr>
        <w:rPr>
          <w:b/>
        </w:rPr>
      </w:pPr>
      <w:r w:rsidRPr="000D361C">
        <w:rPr>
          <w:b/>
        </w:rPr>
        <w:t xml:space="preserve">Why don’t the major constituents of air absorb infrared radiation?  It might be worth noting that a molecule such as hydrogen chloride (HCl) does absorb infrared light.  </w:t>
      </w:r>
    </w:p>
    <w:p w:rsidR="00C239B3" w:rsidRPr="000D361C" w:rsidRDefault="00C239B3" w:rsidP="00C239B3"/>
    <w:p w:rsidR="00C239B3" w:rsidRDefault="00C239B3" w:rsidP="00C239B3">
      <w:r w:rsidRPr="000D361C">
        <w:t>In order for a vibration to absorb infrared radiation and become excited, the molecule must change its dipole moment during the vibration.  Homonuclear diatomic molecules such as N</w:t>
      </w:r>
      <w:r w:rsidRPr="000D361C">
        <w:rPr>
          <w:vertAlign w:val="subscript"/>
        </w:rPr>
        <w:t>2</w:t>
      </w:r>
      <w:r w:rsidRPr="000D361C">
        <w:t xml:space="preserve"> and O</w:t>
      </w:r>
      <w:r w:rsidRPr="000D361C">
        <w:rPr>
          <w:vertAlign w:val="subscript"/>
        </w:rPr>
        <w:t>2</w:t>
      </w:r>
      <w:r w:rsidRPr="000D361C">
        <w:t xml:space="preserve"> do not have dipole moments.  If the molecule undergoes a stretching motion as shown in Figure 4.1, where the spheres represent the two nuclei, there is no change in the dipole moment during the vibrational motion, therefore N</w:t>
      </w:r>
      <w:r w:rsidRPr="000D361C">
        <w:rPr>
          <w:vertAlign w:val="subscript"/>
        </w:rPr>
        <w:t>2</w:t>
      </w:r>
      <w:r w:rsidRPr="000D361C">
        <w:t xml:space="preserve"> and O</w:t>
      </w:r>
      <w:r w:rsidRPr="000D361C">
        <w:rPr>
          <w:vertAlign w:val="subscript"/>
        </w:rPr>
        <w:t>2</w:t>
      </w:r>
      <w:r w:rsidRPr="000D361C">
        <w:t xml:space="preserve"> do not absorb infrared radiation. </w:t>
      </w:r>
    </w:p>
    <w:p w:rsidR="00C239B3" w:rsidRPr="000D361C" w:rsidRDefault="00C239B3" w:rsidP="00C239B3"/>
    <w:p w:rsidR="00C239B3" w:rsidRPr="000D361C" w:rsidRDefault="00C239B3" w:rsidP="00C239B3">
      <w:pPr>
        <w:jc w:val="center"/>
      </w:pPr>
      <w:r>
        <w:rPr>
          <w:noProof/>
          <w:lang w:bidi="ar-SA"/>
        </w:rPr>
        <w:drawing>
          <wp:inline distT="0" distB="0" distL="0" distR="0" wp14:anchorId="2188F12C" wp14:editId="1D98DA7C">
            <wp:extent cx="1990725" cy="1401709"/>
            <wp:effectExtent l="19050" t="0" r="9525" b="0"/>
            <wp:docPr id="58" name="Picture 57" descr="pg62[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62[1].TIF"/>
                    <pic:cNvPicPr/>
                  </pic:nvPicPr>
                  <pic:blipFill>
                    <a:blip r:embed="rId4" cstate="print"/>
                    <a:stretch>
                      <a:fillRect/>
                    </a:stretch>
                  </pic:blipFill>
                  <pic:spPr>
                    <a:xfrm>
                      <a:off x="0" y="0"/>
                      <a:ext cx="1996034" cy="1405447"/>
                    </a:xfrm>
                    <a:prstGeom prst="rect">
                      <a:avLst/>
                    </a:prstGeom>
                  </pic:spPr>
                </pic:pic>
              </a:graphicData>
            </a:graphic>
          </wp:inline>
        </w:drawing>
      </w:r>
    </w:p>
    <w:p w:rsidR="00C239B3" w:rsidRDefault="00C239B3" w:rsidP="00C239B3">
      <w:pPr>
        <w:jc w:val="center"/>
        <w:rPr>
          <w:rFonts w:ascii="Times New Roman" w:hAnsi="Times New Roman"/>
        </w:rPr>
      </w:pPr>
    </w:p>
    <w:p w:rsidR="00C239B3" w:rsidRPr="000D361C" w:rsidRDefault="00C239B3" w:rsidP="00C239B3">
      <w:pPr>
        <w:rPr>
          <w:sz w:val="20"/>
          <w:szCs w:val="20"/>
        </w:rPr>
      </w:pPr>
      <w:r w:rsidRPr="000D361C">
        <w:rPr>
          <w:b/>
          <w:sz w:val="20"/>
          <w:szCs w:val="20"/>
        </w:rPr>
        <w:t>Figure 4.1.</w:t>
      </w:r>
      <w:r w:rsidRPr="000D361C">
        <w:rPr>
          <w:sz w:val="20"/>
          <w:szCs w:val="20"/>
        </w:rPr>
        <w:t xml:space="preserve">  Representation of the stretching vibration of a homonuclear diatomic molecule.</w:t>
      </w:r>
    </w:p>
    <w:p w:rsidR="00C239B3" w:rsidRPr="000D361C" w:rsidRDefault="00C239B3" w:rsidP="00C239B3">
      <w:r w:rsidRPr="000D361C">
        <w:lastRenderedPageBreak/>
        <w:t>HCl does have a dipole moment.  Stretching the HCl bond leads to a change in the dipole moment.  If we stretched the bond so far as to break the bond and produce the two original neutral atoms, there would be no dipole moment.  Therefore, as we lengthen the bond in HCl, the dipole moment gets smaller. Because the dipole moment of HCl changes during a stretching vibration, it absorbs infrared radiation.</w:t>
      </w:r>
    </w:p>
    <w:p w:rsidR="00C239B3" w:rsidRPr="000D361C" w:rsidRDefault="00C239B3" w:rsidP="00C239B3"/>
    <w:p w:rsidR="00C239B3" w:rsidRPr="000D361C" w:rsidRDefault="00C239B3" w:rsidP="00C239B3">
      <w:pPr>
        <w:rPr>
          <w:b/>
        </w:rPr>
      </w:pPr>
      <w:r w:rsidRPr="000D361C">
        <w:rPr>
          <w:b/>
        </w:rPr>
        <w:t>Describe the vibrations of carbon dioxide (CO</w:t>
      </w:r>
      <w:r w:rsidRPr="000D361C">
        <w:rPr>
          <w:b/>
          <w:vertAlign w:val="subscript"/>
        </w:rPr>
        <w:t>2</w:t>
      </w:r>
      <w:r w:rsidRPr="000D361C">
        <w:rPr>
          <w:b/>
        </w:rPr>
        <w:t>) and determine which ones absorb infrared radiation.</w:t>
      </w:r>
    </w:p>
    <w:p w:rsidR="00C239B3" w:rsidRPr="000D361C" w:rsidRDefault="00C239B3" w:rsidP="00C239B3"/>
    <w:p w:rsidR="00C239B3" w:rsidRPr="000D361C" w:rsidRDefault="00C239B3" w:rsidP="00C239B3">
      <w:r w:rsidRPr="000D361C">
        <w:t>The number of possible vibrations for a molecule is determined by the degrees of freedom of the molecule.  The degrees of freedom for most molecules are (3N – 6) where N is the number of atoms.  The degrees of freedom for a linear molecule are (3N – 5).  Carbon dioxide is a linear molecule so it has four degrees of freedom and four possible vibrations.</w:t>
      </w:r>
    </w:p>
    <w:p w:rsidR="00C239B3" w:rsidRPr="000D361C" w:rsidRDefault="00C239B3" w:rsidP="00C239B3"/>
    <w:p w:rsidR="00C239B3" w:rsidRDefault="00C239B3" w:rsidP="00C239B3">
      <w:r w:rsidRPr="000D361C">
        <w:t>One vibration is the symmetrical stretch (Figure 4.2).  Each bond dipole, which is represented by the arrows, does change on stretching, but the overall molecular dipole is zero throughout.  Since there is no net change in the molecular dipole, this vibration is not IR active.</w:t>
      </w:r>
    </w:p>
    <w:p w:rsidR="00C239B3" w:rsidRPr="000D361C" w:rsidRDefault="00C239B3" w:rsidP="00C239B3"/>
    <w:p w:rsidR="00C239B3" w:rsidRPr="000D361C" w:rsidRDefault="00C239B3" w:rsidP="00C239B3">
      <w:pPr>
        <w:jc w:val="center"/>
      </w:pPr>
      <w:r>
        <w:rPr>
          <w:noProof/>
          <w:lang w:bidi="ar-SA"/>
        </w:rPr>
        <w:drawing>
          <wp:inline distT="0" distB="0" distL="0" distR="0" wp14:anchorId="0C02950D" wp14:editId="5A1CCA92">
            <wp:extent cx="5362575" cy="1260135"/>
            <wp:effectExtent l="19050" t="0" r="9525" b="0"/>
            <wp:docPr id="61" name="Picture 60" descr="pg63top[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63top[1].TIF"/>
                    <pic:cNvPicPr/>
                  </pic:nvPicPr>
                  <pic:blipFill>
                    <a:blip r:embed="rId5" cstate="print"/>
                    <a:stretch>
                      <a:fillRect/>
                    </a:stretch>
                  </pic:blipFill>
                  <pic:spPr>
                    <a:xfrm>
                      <a:off x="0" y="0"/>
                      <a:ext cx="5362575" cy="1260135"/>
                    </a:xfrm>
                    <a:prstGeom prst="rect">
                      <a:avLst/>
                    </a:prstGeom>
                  </pic:spPr>
                </pic:pic>
              </a:graphicData>
            </a:graphic>
          </wp:inline>
        </w:drawing>
      </w:r>
    </w:p>
    <w:p w:rsidR="00C239B3" w:rsidRDefault="00C239B3" w:rsidP="00C239B3">
      <w:pPr>
        <w:jc w:val="center"/>
        <w:rPr>
          <w:rFonts w:ascii="Times New Roman" w:hAnsi="Times New Roman"/>
        </w:rPr>
      </w:pPr>
    </w:p>
    <w:p w:rsidR="00C239B3" w:rsidRPr="000D361C" w:rsidRDefault="00C239B3" w:rsidP="00C239B3">
      <w:pPr>
        <w:rPr>
          <w:sz w:val="20"/>
          <w:szCs w:val="20"/>
        </w:rPr>
      </w:pPr>
      <w:r w:rsidRPr="000D361C">
        <w:rPr>
          <w:b/>
          <w:sz w:val="20"/>
          <w:szCs w:val="20"/>
        </w:rPr>
        <w:t>Figure 4.2.</w:t>
      </w:r>
      <w:r w:rsidRPr="000D361C">
        <w:rPr>
          <w:sz w:val="20"/>
          <w:szCs w:val="20"/>
        </w:rPr>
        <w:t xml:space="preserve">  Representation of the IR inactive symmetric stretch of carbon dioxide.</w:t>
      </w:r>
      <w:r>
        <w:rPr>
          <w:sz w:val="20"/>
          <w:szCs w:val="20"/>
        </w:rPr>
        <w:t xml:space="preserve">  The arrows represent bond dipoles.</w:t>
      </w:r>
    </w:p>
    <w:p w:rsidR="00C239B3" w:rsidRPr="000D361C" w:rsidRDefault="00C239B3" w:rsidP="00C239B3"/>
    <w:p w:rsidR="00C239B3" w:rsidRDefault="00C239B3" w:rsidP="00C239B3">
      <w:r w:rsidRPr="000D361C">
        <w:t>A second vibration is the asymmetrical stretch (Figure 4.3).  Each bond dipole does change on stretching and the molecule now has a net dipole.  Since the molecular dipole changes during an asymmetrical stretch, this vibration is IR active.</w:t>
      </w:r>
    </w:p>
    <w:p w:rsidR="00C239B3" w:rsidRPr="000D361C" w:rsidRDefault="00C239B3" w:rsidP="00C239B3"/>
    <w:p w:rsidR="00C239B3" w:rsidRDefault="00C239B3" w:rsidP="00C239B3">
      <w:pPr>
        <w:jc w:val="center"/>
        <w:rPr>
          <w:rFonts w:ascii="Times New Roman" w:hAnsi="Times New Roman"/>
        </w:rPr>
      </w:pPr>
      <w:r>
        <w:rPr>
          <w:rFonts w:ascii="Times New Roman" w:hAnsi="Times New Roman"/>
          <w:noProof/>
          <w:lang w:bidi="ar-SA"/>
        </w:rPr>
        <w:drawing>
          <wp:inline distT="0" distB="0" distL="0" distR="0" wp14:anchorId="1D941B62" wp14:editId="55EB37FF">
            <wp:extent cx="5210175" cy="1178331"/>
            <wp:effectExtent l="19050" t="0" r="0" b="0"/>
            <wp:docPr id="63" name="Picture 62" descr="pg63bottom[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63bottom[1].TIF"/>
                    <pic:cNvPicPr/>
                  </pic:nvPicPr>
                  <pic:blipFill>
                    <a:blip r:embed="rId6" cstate="print"/>
                    <a:stretch>
                      <a:fillRect/>
                    </a:stretch>
                  </pic:blipFill>
                  <pic:spPr>
                    <a:xfrm>
                      <a:off x="0" y="0"/>
                      <a:ext cx="5210854" cy="1178485"/>
                    </a:xfrm>
                    <a:prstGeom prst="rect">
                      <a:avLst/>
                    </a:prstGeom>
                  </pic:spPr>
                </pic:pic>
              </a:graphicData>
            </a:graphic>
          </wp:inline>
        </w:drawing>
      </w:r>
    </w:p>
    <w:p w:rsidR="00C239B3" w:rsidRDefault="00C239B3" w:rsidP="00C239B3">
      <w:pPr>
        <w:jc w:val="center"/>
        <w:rPr>
          <w:rFonts w:ascii="Times New Roman" w:hAnsi="Times New Roman"/>
        </w:rPr>
      </w:pPr>
    </w:p>
    <w:p w:rsidR="00C239B3" w:rsidRPr="000D361C" w:rsidRDefault="00C239B3" w:rsidP="00C239B3">
      <w:pPr>
        <w:rPr>
          <w:sz w:val="20"/>
          <w:szCs w:val="20"/>
        </w:rPr>
      </w:pPr>
      <w:r w:rsidRPr="000D361C">
        <w:rPr>
          <w:b/>
          <w:sz w:val="20"/>
          <w:szCs w:val="20"/>
        </w:rPr>
        <w:t>Figure 4.3.</w:t>
      </w:r>
      <w:r w:rsidRPr="000D361C">
        <w:rPr>
          <w:sz w:val="20"/>
          <w:szCs w:val="20"/>
        </w:rPr>
        <w:t xml:space="preserve">  Representation of the IR active asymmetric stretch of carbon dioxide.</w:t>
      </w:r>
      <w:r>
        <w:rPr>
          <w:sz w:val="20"/>
          <w:szCs w:val="20"/>
        </w:rPr>
        <w:t xml:space="preserve">  Arrows represent bond dipoles.</w:t>
      </w:r>
    </w:p>
    <w:p w:rsidR="00C239B3" w:rsidRPr="000D361C" w:rsidRDefault="00C239B3" w:rsidP="00C239B3"/>
    <w:p w:rsidR="00C239B3" w:rsidRDefault="00C239B3" w:rsidP="00C239B3"/>
    <w:p w:rsidR="00C239B3" w:rsidRDefault="00C239B3" w:rsidP="00C239B3">
      <w:r w:rsidRPr="000D361C">
        <w:lastRenderedPageBreak/>
        <w:t>The third vibration is the bending vibration (Figure 4.4).  There are two bending vibrations that occur in two different planes.  Both are identical so both have the same energy and are degenerate.  The bending motion does lead to a net molecular dipole.  Since the molecular dipole changes during the bending motion, these vibrations are IR active.</w:t>
      </w:r>
    </w:p>
    <w:p w:rsidR="00C239B3" w:rsidRPr="000D361C" w:rsidRDefault="00C239B3" w:rsidP="00C239B3"/>
    <w:p w:rsidR="00C239B3" w:rsidRDefault="00C239B3" w:rsidP="00C239B3">
      <w:pPr>
        <w:jc w:val="center"/>
        <w:rPr>
          <w:rFonts w:ascii="Times New Roman" w:hAnsi="Times New Roman"/>
        </w:rPr>
      </w:pPr>
      <w:r>
        <w:rPr>
          <w:rFonts w:ascii="Times New Roman" w:hAnsi="Times New Roman"/>
          <w:noProof/>
          <w:lang w:bidi="ar-SA"/>
        </w:rPr>
        <w:drawing>
          <wp:inline distT="0" distB="0" distL="0" distR="0" wp14:anchorId="3BD010B9" wp14:editId="381E4FF1">
            <wp:extent cx="3667125" cy="1709656"/>
            <wp:effectExtent l="19050" t="0" r="9525" b="0"/>
            <wp:docPr id="64" name="Picture 63" descr="pg64top[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64top[1].TIF"/>
                    <pic:cNvPicPr/>
                  </pic:nvPicPr>
                  <pic:blipFill>
                    <a:blip r:embed="rId7" cstate="print"/>
                    <a:stretch>
                      <a:fillRect/>
                    </a:stretch>
                  </pic:blipFill>
                  <pic:spPr>
                    <a:xfrm>
                      <a:off x="0" y="0"/>
                      <a:ext cx="3665561" cy="1708927"/>
                    </a:xfrm>
                    <a:prstGeom prst="rect">
                      <a:avLst/>
                    </a:prstGeom>
                  </pic:spPr>
                </pic:pic>
              </a:graphicData>
            </a:graphic>
          </wp:inline>
        </w:drawing>
      </w:r>
    </w:p>
    <w:p w:rsidR="00C239B3" w:rsidRDefault="00C239B3" w:rsidP="00C239B3">
      <w:pPr>
        <w:rPr>
          <w:rFonts w:ascii="Times New Roman" w:hAnsi="Times New Roman"/>
        </w:rPr>
      </w:pPr>
    </w:p>
    <w:p w:rsidR="00C239B3" w:rsidRPr="000D361C" w:rsidRDefault="00C239B3" w:rsidP="00C239B3">
      <w:pPr>
        <w:rPr>
          <w:sz w:val="20"/>
          <w:szCs w:val="20"/>
        </w:rPr>
      </w:pPr>
      <w:r w:rsidRPr="000D361C">
        <w:rPr>
          <w:b/>
          <w:sz w:val="20"/>
          <w:szCs w:val="20"/>
        </w:rPr>
        <w:t>Figure 4.4.</w:t>
      </w:r>
      <w:r w:rsidRPr="000D361C">
        <w:rPr>
          <w:sz w:val="20"/>
          <w:szCs w:val="20"/>
        </w:rPr>
        <w:t xml:space="preserve">  Representation of the IR active bending vibration of carbon dioxide.</w:t>
      </w:r>
      <w:r>
        <w:rPr>
          <w:sz w:val="20"/>
          <w:szCs w:val="20"/>
        </w:rPr>
        <w:t xml:space="preserve">  Arrows represent bond dipoles.</w:t>
      </w:r>
    </w:p>
    <w:p w:rsidR="00C239B3" w:rsidRPr="000D361C" w:rsidRDefault="00C239B3" w:rsidP="00C239B3"/>
    <w:p w:rsidR="00C239B3" w:rsidRDefault="00C239B3" w:rsidP="00C239B3">
      <w:r w:rsidRPr="000D361C">
        <w:t xml:space="preserve">An atomic stretching vibration can be represented by a potential energy diagram as shown in Figure 4.5 (also referred to as a potential energy well).  The x-axis is the internuclear distance.  Note that different vibrational energy levels, which are shown on the diagram as a series of parallel lines, are superimposed onto the potential well. Also note that, if the bond gets to too high a vibrational state, it can be ruptured.  </w:t>
      </w:r>
    </w:p>
    <w:p w:rsidR="00C239B3" w:rsidRDefault="00C239B3" w:rsidP="00C239B3"/>
    <w:p w:rsidR="00C239B3" w:rsidRPr="000D361C" w:rsidRDefault="00C239B3" w:rsidP="00C239B3">
      <w:pPr>
        <w:jc w:val="center"/>
      </w:pPr>
      <w:r>
        <w:rPr>
          <w:noProof/>
          <w:lang w:bidi="ar-SA"/>
        </w:rPr>
        <w:drawing>
          <wp:inline distT="0" distB="0" distL="0" distR="0" wp14:anchorId="7DED9601" wp14:editId="1EA0B32E">
            <wp:extent cx="3543300" cy="2734674"/>
            <wp:effectExtent l="19050" t="0" r="0" b="0"/>
            <wp:docPr id="75" name="Picture 74" descr="pg64bottom[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64bottom[1].TIF"/>
                    <pic:cNvPicPr/>
                  </pic:nvPicPr>
                  <pic:blipFill>
                    <a:blip r:embed="rId8" cstate="print"/>
                    <a:stretch>
                      <a:fillRect/>
                    </a:stretch>
                  </pic:blipFill>
                  <pic:spPr>
                    <a:xfrm>
                      <a:off x="0" y="0"/>
                      <a:ext cx="3547543" cy="2737949"/>
                    </a:xfrm>
                    <a:prstGeom prst="rect">
                      <a:avLst/>
                    </a:prstGeom>
                  </pic:spPr>
                </pic:pic>
              </a:graphicData>
            </a:graphic>
          </wp:inline>
        </w:drawing>
      </w:r>
    </w:p>
    <w:p w:rsidR="00C239B3" w:rsidRPr="000D361C" w:rsidRDefault="00C239B3" w:rsidP="00C239B3"/>
    <w:p w:rsidR="00C239B3" w:rsidRPr="000D361C" w:rsidRDefault="00C239B3" w:rsidP="00C239B3">
      <w:pPr>
        <w:rPr>
          <w:sz w:val="20"/>
          <w:szCs w:val="20"/>
        </w:rPr>
      </w:pPr>
      <w:r w:rsidRPr="000D361C">
        <w:rPr>
          <w:b/>
          <w:sz w:val="20"/>
          <w:szCs w:val="20"/>
        </w:rPr>
        <w:t>Figure 4.5.</w:t>
      </w:r>
      <w:r w:rsidRPr="000D361C">
        <w:rPr>
          <w:sz w:val="20"/>
          <w:szCs w:val="20"/>
        </w:rPr>
        <w:t xml:space="preserve">  Potential energy well for a covalent bond.  </w:t>
      </w:r>
      <w:proofErr w:type="spellStart"/>
      <w:r w:rsidRPr="000D361C">
        <w:rPr>
          <w:sz w:val="20"/>
          <w:szCs w:val="20"/>
        </w:rPr>
        <w:t>Parellel</w:t>
      </w:r>
      <w:proofErr w:type="spellEnd"/>
      <w:r w:rsidRPr="000D361C">
        <w:rPr>
          <w:sz w:val="20"/>
          <w:szCs w:val="20"/>
        </w:rPr>
        <w:t xml:space="preserve"> lines in the well represent vibrational energy levels.  </w:t>
      </w:r>
    </w:p>
    <w:p w:rsidR="00C239B3" w:rsidRPr="000D361C" w:rsidRDefault="00C239B3" w:rsidP="00C239B3"/>
    <w:p w:rsidR="00C239B3" w:rsidRPr="000D361C" w:rsidRDefault="00C239B3" w:rsidP="00C239B3"/>
    <w:p w:rsidR="00C239B3" w:rsidRPr="000D361C" w:rsidRDefault="00C239B3" w:rsidP="00C239B3"/>
    <w:p w:rsidR="00C239B3" w:rsidRPr="000D361C" w:rsidRDefault="00C239B3" w:rsidP="00C239B3"/>
    <w:p w:rsidR="00C239B3" w:rsidRPr="000D361C" w:rsidRDefault="00C239B3" w:rsidP="00C239B3">
      <w:r w:rsidRPr="000D361C">
        <w:lastRenderedPageBreak/>
        <w:t>IR spectra are recorded in reciprocal wavenumbers (cm</w:t>
      </w:r>
      <w:r w:rsidRPr="000D361C">
        <w:rPr>
          <w:vertAlign w:val="superscript"/>
        </w:rPr>
        <w:t>-1</w:t>
      </w:r>
      <w:r w:rsidRPr="000D361C">
        <w:t>) and there are certain parts of the mid-IR spectrum that correspond to specific vibrational modes of organic compounds.</w:t>
      </w:r>
    </w:p>
    <w:p w:rsidR="00C239B3" w:rsidRPr="000D361C" w:rsidRDefault="00C239B3" w:rsidP="00C239B3"/>
    <w:p w:rsidR="00C239B3" w:rsidRPr="000D361C" w:rsidRDefault="00C239B3" w:rsidP="00C239B3">
      <w:pPr>
        <w:ind w:left="1440" w:firstLine="720"/>
      </w:pPr>
      <w:r w:rsidRPr="000D361C">
        <w:t>2700-3700 cm</w:t>
      </w:r>
      <w:r w:rsidRPr="000D361C">
        <w:rPr>
          <w:vertAlign w:val="superscript"/>
        </w:rPr>
        <w:t>-1</w:t>
      </w:r>
      <w:r w:rsidRPr="000D361C">
        <w:t>:  Hydrogen stretching</w:t>
      </w:r>
    </w:p>
    <w:p w:rsidR="00C239B3" w:rsidRPr="000D361C" w:rsidRDefault="00C239B3" w:rsidP="00C239B3">
      <w:pPr>
        <w:ind w:left="1440" w:firstLine="720"/>
      </w:pPr>
      <w:r w:rsidRPr="000D361C">
        <w:t>1950-2700 cm</w:t>
      </w:r>
      <w:r w:rsidRPr="000D361C">
        <w:rPr>
          <w:vertAlign w:val="superscript"/>
        </w:rPr>
        <w:t>-1</w:t>
      </w:r>
      <w:r w:rsidRPr="000D361C">
        <w:t>:  Triple bond stretching</w:t>
      </w:r>
    </w:p>
    <w:p w:rsidR="00C239B3" w:rsidRPr="000D361C" w:rsidRDefault="00C239B3" w:rsidP="00C239B3">
      <w:pPr>
        <w:ind w:left="1440" w:firstLine="720"/>
      </w:pPr>
      <w:r w:rsidRPr="000D361C">
        <w:t>1550-1950 cm</w:t>
      </w:r>
      <w:r w:rsidRPr="000D361C">
        <w:rPr>
          <w:vertAlign w:val="superscript"/>
        </w:rPr>
        <w:t>-1</w:t>
      </w:r>
      <w:r w:rsidRPr="000D361C">
        <w:t>:  Double bond stretching</w:t>
      </w:r>
    </w:p>
    <w:p w:rsidR="00C239B3" w:rsidRPr="000D361C" w:rsidRDefault="00C239B3" w:rsidP="00C239B3">
      <w:pPr>
        <w:ind w:left="1440" w:firstLine="720"/>
      </w:pPr>
      <w:r w:rsidRPr="000D361C">
        <w:t>700 -1500 cm</w:t>
      </w:r>
      <w:r w:rsidRPr="000D361C">
        <w:rPr>
          <w:vertAlign w:val="superscript"/>
        </w:rPr>
        <w:t>-1</w:t>
      </w:r>
      <w:r w:rsidRPr="000D361C">
        <w:t>:  Fingerprint region</w:t>
      </w:r>
    </w:p>
    <w:p w:rsidR="00C239B3" w:rsidRPr="000D361C" w:rsidRDefault="00C239B3" w:rsidP="00C239B3"/>
    <w:p w:rsidR="00C239B3" w:rsidRPr="000D361C" w:rsidRDefault="00C239B3" w:rsidP="00C239B3">
      <w:r w:rsidRPr="000D361C">
        <w:t xml:space="preserve">An important consideration is that as molecules get complex, the various vibrational modes get coupled together and the infrared (IR) absorption spectrum becomes quite complex and difficult to accurately determine.  Therefore, while each compound has a unique IR spectrum (suggesting that IR spectroscopy ought to be especially useful for the qualitative analysis – compound identification – of compounds), interpreting IR spectra is not an easy process.  When using IR spectra for compound identification, usually a computer is used to compare the spectrum of the unknown compound to a library of spectra of known compounds to find the best match.  </w:t>
      </w:r>
    </w:p>
    <w:p w:rsidR="00C239B3" w:rsidRPr="000D361C" w:rsidRDefault="00C239B3" w:rsidP="00C239B3"/>
    <w:p w:rsidR="00C239B3" w:rsidRPr="000D361C" w:rsidRDefault="00C239B3" w:rsidP="00C239B3">
      <w:r w:rsidRPr="000D361C">
        <w:t>IR spectroscopy can also be used for quantitative analysis.  One limitation to the use of IR spectroscopy for quantitative analysis is that IR sources have weak power that enhances the noise relative to signal and reduces the sensitivity of the method relative to UV/Visible absorption spectroscopy.  Also, IR detectors are much less sensitive than those for the UV/VIS region of the spectrum.  IR bands are narrower than observed in UV/VIS spectra so instrumental deviations to Beer’s Law (e.g., polychromatic radiation) are of more concern.  Fourier transform methods are often used to enhance the sensitivity of infrared methods, and there are some specialized IR techniques that are used as well.</w:t>
      </w:r>
    </w:p>
    <w:p w:rsidR="00C239B3" w:rsidRPr="000D361C" w:rsidRDefault="00C239B3" w:rsidP="00C239B3"/>
    <w:p w:rsidR="00C239B3" w:rsidRPr="000D361C" w:rsidRDefault="00C239B3" w:rsidP="00C239B3">
      <w:pPr>
        <w:rPr>
          <w:b/>
        </w:rPr>
      </w:pPr>
      <w:r w:rsidRPr="000D361C">
        <w:rPr>
          <w:b/>
        </w:rPr>
        <w:t>4.2.  Specialized Infrared Methods</w:t>
      </w:r>
    </w:p>
    <w:p w:rsidR="00C239B3" w:rsidRPr="000D361C" w:rsidRDefault="00C239B3" w:rsidP="00C239B3"/>
    <w:p w:rsidR="00C239B3" w:rsidRPr="000D361C" w:rsidRDefault="00C239B3" w:rsidP="00C239B3">
      <w:pPr>
        <w:rPr>
          <w:b/>
        </w:rPr>
      </w:pPr>
      <w:r w:rsidRPr="000D361C">
        <w:rPr>
          <w:b/>
        </w:rPr>
        <w:t xml:space="preserve">One technique is called non-dispersive infrared (NDIR) spectroscopy.  NDIR is usually used to measure a single constituent of an air sample.  Think what the name implies and consider how such an instrument might be designed.  </w:t>
      </w:r>
    </w:p>
    <w:p w:rsidR="00C239B3" w:rsidRPr="000D361C" w:rsidRDefault="00C239B3" w:rsidP="00C239B3"/>
    <w:p w:rsidR="00C239B3" w:rsidRPr="000D361C" w:rsidRDefault="00C239B3" w:rsidP="00C239B3">
      <w:r w:rsidRPr="000D361C">
        <w:t>The word non-dispersive implies that the instrument does not use a monochromator.  The design of a NDIR is illustrated in Figure 4.6.  Common things that are often measured using NDIR are the amounts of carbon monoxide and hydrocarbons in automobile exhaust.</w:t>
      </w:r>
    </w:p>
    <w:p w:rsidR="00C239B3" w:rsidRDefault="00C239B3" w:rsidP="00C239B3"/>
    <w:p w:rsidR="00C239B3" w:rsidRDefault="00C239B3" w:rsidP="00C239B3"/>
    <w:p w:rsidR="00C239B3" w:rsidRDefault="00C239B3" w:rsidP="00C239B3"/>
    <w:p w:rsidR="00C239B3" w:rsidRDefault="00C239B3" w:rsidP="00C239B3"/>
    <w:p w:rsidR="00C239B3" w:rsidRDefault="00C239B3" w:rsidP="00C239B3"/>
    <w:p w:rsidR="00C239B3" w:rsidRDefault="00C239B3" w:rsidP="00C239B3"/>
    <w:p w:rsidR="00C239B3" w:rsidRDefault="00C239B3" w:rsidP="00C239B3"/>
    <w:p w:rsidR="00C239B3" w:rsidRPr="000D361C" w:rsidRDefault="00C239B3" w:rsidP="00C239B3">
      <w:pPr>
        <w:jc w:val="center"/>
      </w:pPr>
      <w:r>
        <w:rPr>
          <w:noProof/>
          <w:lang w:bidi="ar-SA"/>
        </w:rPr>
        <w:lastRenderedPageBreak/>
        <w:drawing>
          <wp:inline distT="0" distB="0" distL="0" distR="0" wp14:anchorId="1606A748" wp14:editId="184C3825">
            <wp:extent cx="2838450" cy="3301064"/>
            <wp:effectExtent l="19050" t="0" r="0" b="0"/>
            <wp:docPr id="60" name="Picture 59" descr="pg66[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66[1].TIF"/>
                    <pic:cNvPicPr/>
                  </pic:nvPicPr>
                  <pic:blipFill>
                    <a:blip r:embed="rId9" cstate="print"/>
                    <a:stretch>
                      <a:fillRect/>
                    </a:stretch>
                  </pic:blipFill>
                  <pic:spPr>
                    <a:xfrm>
                      <a:off x="0" y="0"/>
                      <a:ext cx="2840950" cy="3303972"/>
                    </a:xfrm>
                    <a:prstGeom prst="rect">
                      <a:avLst/>
                    </a:prstGeom>
                  </pic:spPr>
                </pic:pic>
              </a:graphicData>
            </a:graphic>
          </wp:inline>
        </w:drawing>
      </w:r>
    </w:p>
    <w:p w:rsidR="00C239B3" w:rsidRDefault="00C239B3" w:rsidP="00C239B3">
      <w:pPr>
        <w:rPr>
          <w:b/>
          <w:sz w:val="20"/>
          <w:szCs w:val="20"/>
        </w:rPr>
      </w:pPr>
    </w:p>
    <w:p w:rsidR="00C239B3" w:rsidRPr="000D361C" w:rsidRDefault="00C239B3" w:rsidP="00C239B3">
      <w:pPr>
        <w:rPr>
          <w:sz w:val="20"/>
          <w:szCs w:val="20"/>
        </w:rPr>
      </w:pPr>
      <w:r w:rsidRPr="000D361C">
        <w:rPr>
          <w:b/>
          <w:sz w:val="20"/>
          <w:szCs w:val="20"/>
        </w:rPr>
        <w:t>Figure 4.6.</w:t>
      </w:r>
      <w:r w:rsidRPr="000D361C">
        <w:rPr>
          <w:sz w:val="20"/>
          <w:szCs w:val="20"/>
        </w:rPr>
        <w:t xml:space="preserve">  Diagram of the components of a non-dispersive infrared spectrophotometer.</w:t>
      </w:r>
    </w:p>
    <w:p w:rsidR="00C239B3" w:rsidRPr="000D361C" w:rsidRDefault="00C239B3" w:rsidP="00C239B3"/>
    <w:p w:rsidR="00C239B3" w:rsidRPr="000D361C" w:rsidRDefault="00C239B3" w:rsidP="00C239B3">
      <w:r w:rsidRPr="000D361C">
        <w:t>The device either splits the beam or uses two identical sources, one of which goes through a reference cell and the other of which goes through the sample cell.  The sample of air (e.g., auto exhaust) is continually drawn through the sample cell during the measurement.  The reference cell is filled with a non-absorbing gas.  The detector cell is filled with the analyte (i.e., carbon monoxide, which has an IR absorption band in the region from 2050-2250 cm</w:t>
      </w:r>
      <w:r w:rsidRPr="000D361C">
        <w:rPr>
          <w:vertAlign w:val="superscript"/>
        </w:rPr>
        <w:t>-1</w:t>
      </w:r>
      <w:r w:rsidRPr="000D361C">
        <w:t>).  If the system is designed to measure carbon monoxide, the reference cell does not absorb any radiation from 2050-2250 cm</w:t>
      </w:r>
      <w:r w:rsidRPr="000D361C">
        <w:rPr>
          <w:vertAlign w:val="superscript"/>
        </w:rPr>
        <w:t>-1</w:t>
      </w:r>
      <w:r w:rsidRPr="000D361C">
        <w:t>.  The sample cell absorbs an amount of radiation from 2050-2250 cm</w:t>
      </w:r>
      <w:r w:rsidRPr="000D361C">
        <w:rPr>
          <w:vertAlign w:val="superscript"/>
        </w:rPr>
        <w:t xml:space="preserve">-1 </w:t>
      </w:r>
      <w:r w:rsidRPr="000D361C">
        <w:t>proportional to the concentration of carbon monoxide in the sample.  The two detector cells, which are filled with carbon monoxide, absorb all of the radiation from 2050-2250 cm</w:t>
      </w:r>
      <w:r w:rsidRPr="000D361C">
        <w:rPr>
          <w:vertAlign w:val="superscript"/>
        </w:rPr>
        <w:t xml:space="preserve">-1 </w:t>
      </w:r>
      <w:r w:rsidRPr="000D361C">
        <w:t>that reaches them.  The infrared energy absorbed by the detector cells is converted to heat, meaning that the molecules in the cell move faster and exert a greater pressure.  Because the reference cell did not absorb any of the radiation from 2050-2250 cm</w:t>
      </w:r>
      <w:r w:rsidRPr="000D361C">
        <w:rPr>
          <w:vertAlign w:val="superscript"/>
        </w:rPr>
        <w:t>-1</w:t>
      </w:r>
      <w:r w:rsidRPr="000D361C">
        <w:t>, the detector cell on the reference side will have a higher temperature and pressure than the detector cell on the side with the sample. A flexible metal diaphragm is placed between the two cells and forms part of an electronic device known as a capacitor.  Note that the capacitor has a gap between the two metal plates, and the measured capacitance varies according to the distance between the two plates.  Therefore, the capacitance is a measure of the pressure difference of the two cells, which can be related back to the amount of carbon monoxide in the sample cell.  The device is calibrated using a sealed sample cell with a known amount of carbon monoxide.  When measuring hydrocarbons, methane (CH</w:t>
      </w:r>
      <w:r w:rsidRPr="000D361C">
        <w:rPr>
          <w:vertAlign w:val="subscript"/>
        </w:rPr>
        <w:t>4</w:t>
      </w:r>
      <w:r w:rsidRPr="000D361C">
        <w:t>) is used for the calibration since it is a compound that has a C-H stretch of similar energy to the C-H stretching modes of other hydrocarbons.  Another common application of NDIR would be as a monitoring device for lethal levels of carbon monoxide in a coal mine.</w:t>
      </w:r>
    </w:p>
    <w:p w:rsidR="00C239B3" w:rsidRDefault="00C239B3" w:rsidP="00C239B3">
      <w:r w:rsidRPr="000D361C">
        <w:lastRenderedPageBreak/>
        <w:t xml:space="preserve">Another specialty application is known as </w:t>
      </w:r>
      <w:r w:rsidRPr="000D361C">
        <w:rPr>
          <w:b/>
        </w:rPr>
        <w:t>attenuated total reflectance spectroscopy (ATR)</w:t>
      </w:r>
      <w:r w:rsidRPr="000D361C">
        <w:t>.  ATR involves the use of an IR transparent crystal in which the sample is either coated or flows over both sides of the crystal.  A representation of the ATR device is shown in Figure 4.7.</w:t>
      </w:r>
    </w:p>
    <w:p w:rsidR="00C239B3" w:rsidRPr="000D361C" w:rsidRDefault="00C239B3" w:rsidP="00C239B3"/>
    <w:p w:rsidR="00C239B3" w:rsidRPr="000D361C" w:rsidRDefault="00C239B3" w:rsidP="00C239B3">
      <w:pPr>
        <w:jc w:val="center"/>
      </w:pPr>
      <w:r>
        <w:rPr>
          <w:noProof/>
          <w:lang w:bidi="ar-SA"/>
        </w:rPr>
        <w:drawing>
          <wp:inline distT="0" distB="0" distL="0" distR="0" wp14:anchorId="3F12A5C1" wp14:editId="496DAD70">
            <wp:extent cx="2857500" cy="2532851"/>
            <wp:effectExtent l="19050" t="0" r="0" b="0"/>
            <wp:docPr id="65" name="Picture 64" descr="pg67[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67[1].TIF"/>
                    <pic:cNvPicPr/>
                  </pic:nvPicPr>
                  <pic:blipFill>
                    <a:blip r:embed="rId10" cstate="print"/>
                    <a:stretch>
                      <a:fillRect/>
                    </a:stretch>
                  </pic:blipFill>
                  <pic:spPr>
                    <a:xfrm>
                      <a:off x="0" y="0"/>
                      <a:ext cx="2858738" cy="2533948"/>
                    </a:xfrm>
                    <a:prstGeom prst="rect">
                      <a:avLst/>
                    </a:prstGeom>
                  </pic:spPr>
                </pic:pic>
              </a:graphicData>
            </a:graphic>
          </wp:inline>
        </w:drawing>
      </w:r>
    </w:p>
    <w:p w:rsidR="00C239B3" w:rsidRPr="000D361C" w:rsidRDefault="00C239B3" w:rsidP="00C239B3">
      <w:pPr>
        <w:jc w:val="center"/>
      </w:pPr>
    </w:p>
    <w:p w:rsidR="00C239B3" w:rsidRPr="000D361C" w:rsidRDefault="00C239B3" w:rsidP="00C239B3">
      <w:pPr>
        <w:rPr>
          <w:sz w:val="20"/>
          <w:szCs w:val="20"/>
        </w:rPr>
      </w:pPr>
      <w:r w:rsidRPr="000D361C">
        <w:rPr>
          <w:b/>
          <w:sz w:val="20"/>
          <w:szCs w:val="20"/>
        </w:rPr>
        <w:t>Figure 4.7.</w:t>
      </w:r>
      <w:r w:rsidRPr="000D361C">
        <w:rPr>
          <w:sz w:val="20"/>
          <w:szCs w:val="20"/>
        </w:rPr>
        <w:t xml:space="preserve">  Representation of a device for measuring attenuated total reflectance spectra.  </w:t>
      </w:r>
    </w:p>
    <w:p w:rsidR="00C239B3" w:rsidRPr="000D361C" w:rsidRDefault="00C239B3" w:rsidP="00C239B3"/>
    <w:p w:rsidR="00C239B3" w:rsidRPr="000D361C" w:rsidRDefault="00C239B3" w:rsidP="00C239B3">
      <w:r w:rsidRPr="000D361C">
        <w:t xml:space="preserve">The radiation enters the crystal in such a way that it undergoes a complete internal reflection inside the crystal.  The path is such that many reflections occur as the radiation passes through the crystal.  At each reflection, the radiation slightly penetrates the coated material and a slight absorption occurs.  The reason for multiple reflections is to increase the path length of the radiation through the sample.  The method can be used to analyze opaque materials that do not transmit infrared radiation.   </w:t>
      </w:r>
    </w:p>
    <w:p w:rsidR="00C239B3" w:rsidRPr="000D361C" w:rsidRDefault="00C239B3" w:rsidP="00C239B3"/>
    <w:p w:rsidR="00C239B3" w:rsidRPr="000D361C" w:rsidRDefault="00C239B3" w:rsidP="00C239B3">
      <w:r w:rsidRPr="000D361C">
        <w:t xml:space="preserve">An inconvenience when recording IR spectra is that glass cells cannot be used since glass absorbs IR radiation.  Liquid samples are often run neat between two salt plates.  Since solvents absorb IR radiation, IR cells usually have rather narrow path lengths to keep solvent absorption to acceptable levels.  Solid samples are often mixed with </w:t>
      </w:r>
      <w:proofErr w:type="spellStart"/>
      <w:r w:rsidRPr="000D361C">
        <w:t>KBr</w:t>
      </w:r>
      <w:proofErr w:type="spellEnd"/>
      <w:r w:rsidRPr="000D361C">
        <w:t xml:space="preserve"> and pressed into an IR transparent pellet.  </w:t>
      </w:r>
    </w:p>
    <w:p w:rsidR="00C239B3" w:rsidRPr="000D361C" w:rsidRDefault="00C239B3" w:rsidP="00C239B3"/>
    <w:p w:rsidR="00C239B3" w:rsidRPr="000D361C" w:rsidRDefault="00C239B3" w:rsidP="00C239B3">
      <w:r w:rsidRPr="000D361C">
        <w:t xml:space="preserve">Another way to record an IR spectrum of a solid sample is to perform a </w:t>
      </w:r>
      <w:r w:rsidRPr="000D361C">
        <w:rPr>
          <w:b/>
        </w:rPr>
        <w:t>diffuse reflectance</w:t>
      </w:r>
      <w:r w:rsidRPr="000D361C">
        <w:t xml:space="preserve"> measurement.  The beam strikes the surface of a fine powder and as in ATR some of the radiation is absorbed.  Suitable signal-to-noise for diffuse reflectance IR usually requires the use of Fourier transform IR methods. </w:t>
      </w:r>
    </w:p>
    <w:p w:rsidR="00C239B3" w:rsidRPr="000D361C" w:rsidRDefault="00C239B3" w:rsidP="00C239B3"/>
    <w:p w:rsidR="00C239B3" w:rsidRDefault="00C239B3" w:rsidP="00C239B3">
      <w:pPr>
        <w:rPr>
          <w:b/>
        </w:rPr>
      </w:pPr>
    </w:p>
    <w:p w:rsidR="00C239B3" w:rsidRDefault="00C239B3" w:rsidP="00C239B3">
      <w:pPr>
        <w:rPr>
          <w:b/>
        </w:rPr>
      </w:pPr>
    </w:p>
    <w:p w:rsidR="00C239B3" w:rsidRDefault="00C239B3" w:rsidP="00C239B3">
      <w:pPr>
        <w:rPr>
          <w:b/>
        </w:rPr>
      </w:pPr>
    </w:p>
    <w:p w:rsidR="00C239B3" w:rsidRDefault="00C239B3" w:rsidP="00C239B3">
      <w:pPr>
        <w:rPr>
          <w:b/>
        </w:rPr>
      </w:pPr>
    </w:p>
    <w:p w:rsidR="00C239B3" w:rsidRDefault="00C239B3" w:rsidP="00C239B3">
      <w:pPr>
        <w:rPr>
          <w:b/>
        </w:rPr>
      </w:pPr>
    </w:p>
    <w:p w:rsidR="00C239B3" w:rsidRPr="000D361C" w:rsidRDefault="00C239B3" w:rsidP="00C239B3">
      <w:pPr>
        <w:rPr>
          <w:b/>
        </w:rPr>
      </w:pPr>
      <w:proofErr w:type="gramStart"/>
      <w:r w:rsidRPr="000D361C">
        <w:rPr>
          <w:b/>
        </w:rPr>
        <w:lastRenderedPageBreak/>
        <w:t>4.3  Fourier</w:t>
      </w:r>
      <w:proofErr w:type="gramEnd"/>
      <w:r w:rsidRPr="000D361C">
        <w:rPr>
          <w:b/>
        </w:rPr>
        <w:t>-transform Infrared Spectroscopy (FT-IR)</w:t>
      </w:r>
    </w:p>
    <w:p w:rsidR="00C239B3" w:rsidRPr="000D361C" w:rsidRDefault="00C239B3" w:rsidP="00C239B3"/>
    <w:p w:rsidR="00C239B3" w:rsidRDefault="00C239B3" w:rsidP="00C239B3">
      <w:r w:rsidRPr="000D361C">
        <w:t xml:space="preserve">Up until this point, when recording a spectrum, we have described methods in which a monochromator is used to systematically scan through the different wavelengths or frequencies while recording either the absorbance or emission intensity.  Spectra recorded in such a mode are said to be in the </w:t>
      </w:r>
      <w:r w:rsidRPr="000D361C">
        <w:rPr>
          <w:b/>
        </w:rPr>
        <w:t>frequency domain</w:t>
      </w:r>
      <w:r w:rsidRPr="000D361C">
        <w:t xml:space="preserve">.  Fourier transform methods are designed in such a way that they record the spectra in the </w:t>
      </w:r>
      <w:r w:rsidRPr="000D361C">
        <w:rPr>
          <w:b/>
        </w:rPr>
        <w:t>time domain</w:t>
      </w:r>
      <w:r w:rsidRPr="000D361C">
        <w:t xml:space="preserve">.  The plot in Figure 4.8 represents a particular wavelength or frequency of radiation in its time domain.  What we observe in the time domain is the oscillation of the amplitude of the wave as a function of time.  </w:t>
      </w:r>
    </w:p>
    <w:p w:rsidR="00C239B3" w:rsidRPr="000D361C" w:rsidRDefault="00C239B3" w:rsidP="00C239B3"/>
    <w:p w:rsidR="00C239B3" w:rsidRDefault="00C239B3" w:rsidP="00C239B3">
      <w:pPr>
        <w:jc w:val="center"/>
        <w:rPr>
          <w:rFonts w:ascii="Times New Roman" w:hAnsi="Times New Roman"/>
        </w:rPr>
      </w:pPr>
      <w:r>
        <w:rPr>
          <w:rFonts w:ascii="Times New Roman" w:hAnsi="Times New Roman"/>
          <w:noProof/>
          <w:lang w:bidi="ar-SA"/>
        </w:rPr>
        <w:drawing>
          <wp:inline distT="0" distB="0" distL="0" distR="0" wp14:anchorId="0FA370BD" wp14:editId="0C28CE57">
            <wp:extent cx="2771775" cy="1237264"/>
            <wp:effectExtent l="19050" t="0" r="0" b="0"/>
            <wp:docPr id="66" name="Picture 65" descr="pg68top[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68top[1].TIF"/>
                    <pic:cNvPicPr/>
                  </pic:nvPicPr>
                  <pic:blipFill>
                    <a:blip r:embed="rId11" cstate="print"/>
                    <a:stretch>
                      <a:fillRect/>
                    </a:stretch>
                  </pic:blipFill>
                  <pic:spPr>
                    <a:xfrm>
                      <a:off x="0" y="0"/>
                      <a:ext cx="2771669" cy="1237217"/>
                    </a:xfrm>
                    <a:prstGeom prst="rect">
                      <a:avLst/>
                    </a:prstGeom>
                  </pic:spPr>
                </pic:pic>
              </a:graphicData>
            </a:graphic>
          </wp:inline>
        </w:drawing>
      </w:r>
    </w:p>
    <w:p w:rsidR="00C239B3" w:rsidRDefault="00C239B3" w:rsidP="00C239B3">
      <w:pPr>
        <w:rPr>
          <w:rFonts w:ascii="Times New Roman" w:hAnsi="Times New Roman"/>
        </w:rPr>
      </w:pPr>
    </w:p>
    <w:p w:rsidR="00C239B3" w:rsidRPr="000D361C" w:rsidRDefault="00C239B3" w:rsidP="00C239B3">
      <w:pPr>
        <w:rPr>
          <w:sz w:val="20"/>
          <w:szCs w:val="20"/>
        </w:rPr>
      </w:pPr>
      <w:r w:rsidRPr="000D361C">
        <w:rPr>
          <w:b/>
          <w:sz w:val="20"/>
          <w:szCs w:val="20"/>
        </w:rPr>
        <w:t>Figure 4.8.</w:t>
      </w:r>
      <w:r w:rsidRPr="000D361C">
        <w:rPr>
          <w:sz w:val="20"/>
          <w:szCs w:val="20"/>
        </w:rPr>
        <w:t xml:space="preserve">  Representation of a wave or frequency of radiation in the time domain.  </w:t>
      </w:r>
    </w:p>
    <w:p w:rsidR="00C239B3" w:rsidRPr="000D361C" w:rsidRDefault="00C239B3" w:rsidP="00C239B3"/>
    <w:p w:rsidR="00C239B3" w:rsidRDefault="00C239B3" w:rsidP="00C239B3">
      <w:r w:rsidRPr="000D361C">
        <w:t>The waveform drawn above has a certain amplitude as well as a single, specific frequency.  If a species in a sample could absorb this particular frequency of radiation, we would observe that the amplitude of this wave diminishes.  We could then convert this to a frequency domain spectrum, which would consist of a single line as shown in Figure 4.9.</w:t>
      </w:r>
    </w:p>
    <w:p w:rsidR="00C239B3" w:rsidRPr="000D361C" w:rsidRDefault="00C239B3" w:rsidP="00C239B3"/>
    <w:p w:rsidR="00C239B3" w:rsidRPr="000D361C" w:rsidRDefault="00C239B3" w:rsidP="00C239B3">
      <w:pPr>
        <w:jc w:val="center"/>
      </w:pPr>
      <w:r>
        <w:rPr>
          <w:noProof/>
          <w:lang w:bidi="ar-SA"/>
        </w:rPr>
        <w:drawing>
          <wp:inline distT="0" distB="0" distL="0" distR="0" wp14:anchorId="1480A49E" wp14:editId="2638000A">
            <wp:extent cx="2929128" cy="1225296"/>
            <wp:effectExtent l="19050" t="0" r="4572" b="0"/>
            <wp:docPr id="67" name="Picture 66" descr="pg68bottom[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68bottom[2].TIF"/>
                    <pic:cNvPicPr/>
                  </pic:nvPicPr>
                  <pic:blipFill>
                    <a:blip r:embed="rId12" cstate="print"/>
                    <a:stretch>
                      <a:fillRect/>
                    </a:stretch>
                  </pic:blipFill>
                  <pic:spPr>
                    <a:xfrm>
                      <a:off x="0" y="0"/>
                      <a:ext cx="2929128" cy="1225296"/>
                    </a:xfrm>
                    <a:prstGeom prst="rect">
                      <a:avLst/>
                    </a:prstGeom>
                  </pic:spPr>
                </pic:pic>
              </a:graphicData>
            </a:graphic>
          </wp:inline>
        </w:drawing>
      </w:r>
    </w:p>
    <w:p w:rsidR="00C239B3" w:rsidRDefault="00C239B3" w:rsidP="00C239B3">
      <w:pPr>
        <w:jc w:val="center"/>
        <w:rPr>
          <w:rFonts w:ascii="Times New Roman" w:hAnsi="Times New Roman"/>
        </w:rPr>
      </w:pPr>
    </w:p>
    <w:p w:rsidR="00C239B3" w:rsidRPr="000D361C" w:rsidRDefault="00C239B3" w:rsidP="00C239B3">
      <w:pPr>
        <w:rPr>
          <w:sz w:val="20"/>
          <w:szCs w:val="20"/>
        </w:rPr>
      </w:pPr>
      <w:r w:rsidRPr="000D361C">
        <w:rPr>
          <w:b/>
          <w:sz w:val="20"/>
          <w:szCs w:val="20"/>
        </w:rPr>
        <w:t>Figure 4.9.</w:t>
      </w:r>
      <w:r w:rsidRPr="000D361C">
        <w:rPr>
          <w:sz w:val="20"/>
          <w:szCs w:val="20"/>
        </w:rPr>
        <w:t xml:space="preserve">  Frequency domain spectrum.</w:t>
      </w:r>
    </w:p>
    <w:p w:rsidR="00C239B3" w:rsidRPr="000D361C" w:rsidRDefault="00C239B3" w:rsidP="00C239B3"/>
    <w:p w:rsidR="00C239B3" w:rsidRPr="000D361C" w:rsidRDefault="00C239B3" w:rsidP="00C239B3">
      <w:r w:rsidRPr="000D361C">
        <w:t xml:space="preserve">The frequency domain spectrum would have a single line at the same frequency as before, but its amplitude would be reduced.  </w:t>
      </w:r>
    </w:p>
    <w:p w:rsidR="00C239B3" w:rsidRPr="000D361C" w:rsidRDefault="00C239B3" w:rsidP="00C239B3"/>
    <w:p w:rsidR="00C239B3" w:rsidRPr="000D361C" w:rsidRDefault="00C239B3" w:rsidP="00C239B3">
      <w:r w:rsidRPr="000D361C">
        <w:t xml:space="preserve">Suppose we have a frequency domain spectrum that consisted of two single lines, each with a different frequency.  The time domain spectrum of this would now consist of two waves, one for each of the frequencies.  The net time domain spectrum would be the addition of those two waves.  If there were many frequencies, then the time domain wave form would be a complex pattern.  A Fourier transform (FT) is a mathematical procedure that can be used to determine the individual frequency components and their amplitudes that are used to construct a </w:t>
      </w:r>
      <w:r w:rsidRPr="000D361C">
        <w:lastRenderedPageBreak/>
        <w:t xml:space="preserve">composite wave.  The Fourier transform allows you to convert a time domain spectrum to a frequency domain spectrum.  </w:t>
      </w:r>
    </w:p>
    <w:p w:rsidR="00C239B3" w:rsidRPr="000D361C" w:rsidRDefault="00C239B3" w:rsidP="00C239B3"/>
    <w:p w:rsidR="00C239B3" w:rsidRPr="000D361C" w:rsidRDefault="00C239B3" w:rsidP="00C239B3">
      <w:r w:rsidRPr="000D361C">
        <w:t xml:space="preserve">Note that time domain spectra are difficult to interpret for either qualitative or quantitative analysis.  Frequency domain spectra are more readily interpreted and used for qualitative and quantitative analysis.  Yet there are certain advantages to recording a spectrum in the time domain using FT methods.  The two most common spectroscopic techniques that are done in an FT mode are IR and NMR spectroscopy.  These are two methods that are not the most sensitive among the various spectroscopic techniques that are available, and one advantage of FT methods is that they can be used to improve the signal-to-noise ratio.  </w:t>
      </w:r>
    </w:p>
    <w:p w:rsidR="00C239B3" w:rsidRPr="000D361C" w:rsidRDefault="00C239B3" w:rsidP="00C239B3"/>
    <w:p w:rsidR="00C239B3" w:rsidRDefault="00C239B3" w:rsidP="00C239B3">
      <w:r w:rsidRPr="000D361C">
        <w:t>Recording an FT-IR spectrum requires a process in which the radiation from the source is somehow converted to the time domain.  The most common way of achieving this with IR radiation is to use a device known as a Michelson interferometer.  A diagram of a Michelson interferometer is shown in Figure 4.10.</w:t>
      </w:r>
    </w:p>
    <w:p w:rsidR="00C239B3" w:rsidRPr="000D361C" w:rsidRDefault="00C239B3" w:rsidP="00C239B3">
      <w:pPr>
        <w:jc w:val="center"/>
      </w:pPr>
      <w:r>
        <w:rPr>
          <w:noProof/>
          <w:lang w:bidi="ar-SA"/>
        </w:rPr>
        <w:drawing>
          <wp:inline distT="0" distB="0" distL="0" distR="0" wp14:anchorId="4D6653C7" wp14:editId="69A8D275">
            <wp:extent cx="5495925" cy="2604693"/>
            <wp:effectExtent l="19050" t="0" r="9525" b="0"/>
            <wp:docPr id="68" name="Picture 67" descr="pg69[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69[1].TIF"/>
                    <pic:cNvPicPr/>
                  </pic:nvPicPr>
                  <pic:blipFill>
                    <a:blip r:embed="rId13" cstate="print"/>
                    <a:stretch>
                      <a:fillRect/>
                    </a:stretch>
                  </pic:blipFill>
                  <pic:spPr>
                    <a:xfrm>
                      <a:off x="0" y="0"/>
                      <a:ext cx="5495925" cy="2604693"/>
                    </a:xfrm>
                    <a:prstGeom prst="rect">
                      <a:avLst/>
                    </a:prstGeom>
                  </pic:spPr>
                </pic:pic>
              </a:graphicData>
            </a:graphic>
          </wp:inline>
        </w:drawing>
      </w:r>
    </w:p>
    <w:p w:rsidR="00C239B3" w:rsidRDefault="00C239B3" w:rsidP="00C239B3">
      <w:pPr>
        <w:jc w:val="center"/>
        <w:rPr>
          <w:rFonts w:ascii="Times New Roman" w:hAnsi="Times New Roman"/>
        </w:rPr>
      </w:pPr>
    </w:p>
    <w:p w:rsidR="00C239B3" w:rsidRPr="000D361C" w:rsidRDefault="00C239B3" w:rsidP="00C239B3">
      <w:pPr>
        <w:rPr>
          <w:sz w:val="20"/>
          <w:szCs w:val="20"/>
        </w:rPr>
      </w:pPr>
      <w:r w:rsidRPr="000D361C">
        <w:rPr>
          <w:b/>
          <w:sz w:val="20"/>
          <w:szCs w:val="20"/>
        </w:rPr>
        <w:t>Figure 4.10.</w:t>
      </w:r>
      <w:r w:rsidRPr="000D361C">
        <w:rPr>
          <w:sz w:val="20"/>
          <w:szCs w:val="20"/>
        </w:rPr>
        <w:t xml:space="preserve">  Diagram of a Michelson interferometer.</w:t>
      </w:r>
    </w:p>
    <w:p w:rsidR="00C239B3" w:rsidRPr="000D361C" w:rsidRDefault="00C239B3" w:rsidP="00C239B3"/>
    <w:p w:rsidR="00C239B3" w:rsidRPr="000D361C" w:rsidRDefault="00C239B3" w:rsidP="00C239B3">
      <w:r w:rsidRPr="000D361C">
        <w:t xml:space="preserve">In the Michelson interferometer, radiation from the source is collimated and sent to the beam splitter.  At the splitter, half of the radiation is reflected and goes to the fixed mirror.  The other half is transmitted through and goes to the moveable mirror.  The two beams of radiation reflect off of the two mirrors and meet back up at the beam splitter.  Half of the light from the fixed mirror and half of the light from the moveable mirror recombines and goes to the sample.  When the moveable mirror is at position 0, it is exactly the same distance from the beam splitter as the fixed mirror.  Knowing an exact location of the 0-position is essential to the proper functioning of a Michelson interferometer.  The critical factor is to consider what happens to particular wavelengths of light at the moveable mirror is moved to different positions.  </w:t>
      </w:r>
    </w:p>
    <w:p w:rsidR="00C239B3" w:rsidRDefault="00C239B3" w:rsidP="00C239B3">
      <w:pPr>
        <w:rPr>
          <w:b/>
        </w:rPr>
      </w:pPr>
    </w:p>
    <w:p w:rsidR="00C239B3" w:rsidRDefault="00C239B3" w:rsidP="00C239B3">
      <w:pPr>
        <w:rPr>
          <w:b/>
        </w:rPr>
      </w:pPr>
    </w:p>
    <w:p w:rsidR="00C239B3" w:rsidRPr="000D361C" w:rsidRDefault="00C239B3" w:rsidP="00C239B3">
      <w:pPr>
        <w:rPr>
          <w:b/>
        </w:rPr>
      </w:pPr>
      <w:r w:rsidRPr="000D361C">
        <w:rPr>
          <w:b/>
        </w:rPr>
        <w:lastRenderedPageBreak/>
        <w:t>Plot the intensity of radiation at the sample versus the position of the moveable mirror for monochromatic radiation of wavelength x, 2x or 4x.</w:t>
      </w:r>
    </w:p>
    <w:p w:rsidR="00C239B3" w:rsidRPr="000D361C" w:rsidRDefault="00C239B3" w:rsidP="00C239B3">
      <w:pPr>
        <w:rPr>
          <w:b/>
        </w:rPr>
      </w:pPr>
    </w:p>
    <w:p w:rsidR="00C239B3" w:rsidRDefault="00C239B3" w:rsidP="00C239B3">
      <w:r w:rsidRPr="000D361C">
        <w:t>An important thing to recognize in drawing these plots is that, if the mirror is at –½x, the radiation that goes to the moveable mirror travels an extra distance x compared to the radiation that goes to the fixed mirror (It travels an extra ½x to get to the moveable mirror and an extra ½x to get back to the zero position). If the two beams of radiation recombine at the beam splitter in phase with each other, they will constructively interfere.  If the two beams of radiation recombine at the beam splitter out of phase with each other, they will destructively interfere.  Using this information, we can then determine what mirror positions will lead to constructive and destructive interference for radiation of wavelengths x, 2x and 4x.  The plots that are obtained for wavelength x, 2x and 4x are shown in Figure 4.11.</w:t>
      </w:r>
    </w:p>
    <w:p w:rsidR="00C239B3" w:rsidRPr="000D361C" w:rsidRDefault="00C239B3" w:rsidP="00C239B3"/>
    <w:p w:rsidR="00C239B3" w:rsidRPr="000D361C" w:rsidRDefault="00C239B3" w:rsidP="00C239B3">
      <w:pPr>
        <w:jc w:val="center"/>
      </w:pPr>
      <w:r>
        <w:rPr>
          <w:noProof/>
          <w:lang w:bidi="ar-SA"/>
        </w:rPr>
        <w:drawing>
          <wp:inline distT="0" distB="0" distL="0" distR="0" wp14:anchorId="0C9EB231" wp14:editId="3F26B38E">
            <wp:extent cx="4781550" cy="3438592"/>
            <wp:effectExtent l="19050" t="0" r="0" b="0"/>
            <wp:docPr id="76" name="Picture 75" descr="pg7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70[1].TIF"/>
                    <pic:cNvPicPr/>
                  </pic:nvPicPr>
                  <pic:blipFill>
                    <a:blip r:embed="rId14" cstate="print"/>
                    <a:stretch>
                      <a:fillRect/>
                    </a:stretch>
                  </pic:blipFill>
                  <pic:spPr>
                    <a:xfrm>
                      <a:off x="0" y="0"/>
                      <a:ext cx="4781550" cy="3438592"/>
                    </a:xfrm>
                    <a:prstGeom prst="rect">
                      <a:avLst/>
                    </a:prstGeom>
                  </pic:spPr>
                </pic:pic>
              </a:graphicData>
            </a:graphic>
          </wp:inline>
        </w:drawing>
      </w:r>
    </w:p>
    <w:p w:rsidR="00C239B3" w:rsidRDefault="00C239B3" w:rsidP="00C239B3">
      <w:pPr>
        <w:jc w:val="center"/>
        <w:rPr>
          <w:rFonts w:ascii="Times New Roman" w:hAnsi="Times New Roman"/>
        </w:rPr>
      </w:pPr>
    </w:p>
    <w:p w:rsidR="00C239B3" w:rsidRPr="000D361C" w:rsidRDefault="00C239B3" w:rsidP="00C239B3">
      <w:pPr>
        <w:rPr>
          <w:sz w:val="20"/>
          <w:szCs w:val="20"/>
        </w:rPr>
      </w:pPr>
      <w:r w:rsidRPr="000D361C">
        <w:rPr>
          <w:b/>
          <w:sz w:val="20"/>
          <w:szCs w:val="20"/>
        </w:rPr>
        <w:t>Figure 4.11.</w:t>
      </w:r>
      <w:r w:rsidRPr="000D361C">
        <w:rPr>
          <w:sz w:val="20"/>
          <w:szCs w:val="20"/>
        </w:rPr>
        <w:t xml:space="preserve">  Intensity of radiation of </w:t>
      </w:r>
      <w:r w:rsidRPr="00FD5998">
        <w:rPr>
          <w:rFonts w:ascii="Symbol" w:hAnsi="Symbol"/>
          <w:sz w:val="20"/>
          <w:szCs w:val="20"/>
        </w:rPr>
        <w:t></w:t>
      </w:r>
      <w:r w:rsidRPr="00FD5998">
        <w:rPr>
          <w:rFonts w:ascii="Symbol" w:hAnsi="Symbol"/>
          <w:sz w:val="20"/>
          <w:szCs w:val="20"/>
        </w:rPr>
        <w:t></w:t>
      </w:r>
      <w:r w:rsidRPr="000D361C">
        <w:rPr>
          <w:sz w:val="20"/>
          <w:szCs w:val="20"/>
        </w:rPr>
        <w:t>= x, 2x and 4x at the sample as a function of the position of the moveable mirror in a Michelson interferometer.</w:t>
      </w:r>
    </w:p>
    <w:p w:rsidR="00C239B3" w:rsidRPr="000D361C" w:rsidRDefault="00C239B3" w:rsidP="00C239B3"/>
    <w:p w:rsidR="00C239B3" w:rsidRPr="000D361C" w:rsidRDefault="00C239B3" w:rsidP="00C239B3">
      <w:r w:rsidRPr="000D361C">
        <w:t>There are two important consequences from the plots in Figure 4.11.  The first is that for each of these wavelengths, the intensity of the radiation at the sample oscillates from full amplitude to zero amplitude as the mirror is moved.  In a Michelson interferometer, the moveable mirror is moved at a fixed speed from one extreme (e.g., +x extreme) to the other (e.g., –x extreme).  After the relatively slow movement in one direction, the moveable mirror is then rapidly reset to the original position (in the example we are using, it is reset back to the +x extreme), and then moved again to record a second spectrum that is added to the first.  Because the mirror moves at a set, fixed rate, the intensity of any one of these three wavelengths varies as a function of time.  Each wavelength now has a time domain property associated with it.</w:t>
      </w:r>
    </w:p>
    <w:p w:rsidR="00C239B3" w:rsidRPr="000D361C" w:rsidRDefault="00C239B3" w:rsidP="00C239B3"/>
    <w:p w:rsidR="00C239B3" w:rsidRPr="000D361C" w:rsidRDefault="00C239B3" w:rsidP="00C239B3">
      <w:r w:rsidRPr="000D361C">
        <w:t>The second important consequence is that the time domain property of radiation with wavelengths x, 2x and 4x is different.  An examination of the plots in Figure 4.11 shows that the pattern of when the radiation is at full and zero amplitude is different for the radiation with wavelength x, 2x or 4x.  The aggregate plot of all of these wavelengths added together is called an interferogram.  If a sample could absorb infrared radiation of wavelength x, the intensity of light at this wavelength would drop after the sample and it would be reflected in the interferogram.</w:t>
      </w:r>
    </w:p>
    <w:p w:rsidR="00C239B3" w:rsidRPr="000D361C" w:rsidRDefault="00C239B3" w:rsidP="00C239B3"/>
    <w:p w:rsidR="00C239B3" w:rsidRPr="000D361C" w:rsidRDefault="00C239B3" w:rsidP="00C239B3">
      <w:r w:rsidRPr="000D361C">
        <w:t xml:space="preserve">The usual process of recording an FT-IR spectrum is to record a background interferogram with no sample in the cell.  The interferogram with a sample in the cell is then recorded and subtracted from the background interferogram.  The difference is an interferogram reflecting the radiation absorbed from the sample.  This time domain infrared spectrum can then be converted to a frequency domain infrared spectrum using the Fourier transform. </w:t>
      </w:r>
    </w:p>
    <w:p w:rsidR="00C239B3" w:rsidRPr="000D361C" w:rsidRDefault="00C239B3" w:rsidP="00C239B3"/>
    <w:p w:rsidR="00C239B3" w:rsidRPr="000D361C" w:rsidRDefault="00C239B3" w:rsidP="00C239B3">
      <w:r w:rsidRPr="000D361C">
        <w:t>It is usually common to record several interferograms involving repetitive scans of the moveable mirror and then adding them together.  An advantage of using multiple scans is that the signal of each scan is additive.  Noise is a random process so adding together several scans leads to a reduction due to cancelling out of some of the noise.  Therefore, adding together multiple scans will lead to an improvement in the signal-to-noise ratio.  The improvement in the signal-to-noise ratio actually goes up as the square root of the number of scans.  This means that recording twice as many scans, which takes twice as long, does not double the signal-to-noise ratio.  As such, there are diminishing returns to running excessively large numbers of scans if the sample has an especially weak signal (e.g., due to a low concentration) because the time for the experiment can become excessive.</w:t>
      </w:r>
    </w:p>
    <w:p w:rsidR="00C239B3" w:rsidRPr="000D361C" w:rsidRDefault="00C239B3" w:rsidP="00C239B3"/>
    <w:p w:rsidR="00C239B3" w:rsidRPr="000D361C" w:rsidRDefault="00C239B3" w:rsidP="00C239B3">
      <w:r w:rsidRPr="000D361C">
        <w:t>Two important characteristics of an FT-IR spectrophotometer are to have an accurate location of the zero position and a highly reproducible movement of the mirror.  Identifying the exact location of the zero position and controlling the mirror movement is usually accomplished in FT-IR spectrophotometers using a laser system.  With regards to mirror movement, since the position is equated with time, it is essential that the mirror move with exactly the same speed over the entire scan, and that the speed remain identical for each scan.  More expensive FT-IR spectrophotometers have better control of the mirror movement.</w:t>
      </w:r>
    </w:p>
    <w:p w:rsidR="00C239B3" w:rsidRPr="000D361C" w:rsidRDefault="00C239B3" w:rsidP="00C239B3"/>
    <w:p w:rsidR="00C239B3" w:rsidRPr="000D361C" w:rsidRDefault="00C239B3" w:rsidP="00C239B3">
      <w:pPr>
        <w:rPr>
          <w:b/>
        </w:rPr>
      </w:pPr>
      <w:r w:rsidRPr="000D361C">
        <w:rPr>
          <w:b/>
        </w:rPr>
        <w:t>What are the advantages of FT-IR spectrophotometers over conventional IR spectrophotometers that use a monochromator?</w:t>
      </w:r>
    </w:p>
    <w:p w:rsidR="00C239B3" w:rsidRPr="000D361C" w:rsidRDefault="00C239B3" w:rsidP="00C239B3"/>
    <w:p w:rsidR="00C239B3" w:rsidRPr="000D361C" w:rsidRDefault="00C239B3" w:rsidP="00C239B3">
      <w:r w:rsidRPr="000D361C">
        <w:t>We have already mentioned one, which is the ease of recording multiple spectra and adding them together.  Whereas a conventional scanning spectrophotometer that uses a monochromator takes several minutes to scan through the wavelengths, the mirror movement in an FT-IR occurs over a few seconds.</w:t>
      </w:r>
    </w:p>
    <w:p w:rsidR="00C239B3" w:rsidRPr="000D361C" w:rsidRDefault="00C239B3" w:rsidP="00C239B3"/>
    <w:p w:rsidR="00C239B3" w:rsidRPr="000D361C" w:rsidRDefault="00C239B3" w:rsidP="00C239B3">
      <w:r w:rsidRPr="000D361C">
        <w:t xml:space="preserve">Another advantage is that an FT-IR has no slits and therefore has a high throughput of radiation.  Essentially all of the photons from the source are used in the measurement and </w:t>
      </w:r>
      <w:r w:rsidRPr="000D361C">
        <w:lastRenderedPageBreak/>
        <w:t>there are no losses of power because of the monochromator.  Since IR sources have weaker power than UV and visible sources, this is an important advantage of FT-IR instruments.  This is especially so in the far IR region where the source power drops off considerably.</w:t>
      </w:r>
    </w:p>
    <w:p w:rsidR="00C239B3" w:rsidRPr="000D361C" w:rsidRDefault="00C239B3" w:rsidP="00C239B3"/>
    <w:p w:rsidR="00C239B3" w:rsidRPr="000D361C" w:rsidRDefault="00C239B3" w:rsidP="00C239B3">
      <w:r w:rsidRPr="000D361C">
        <w:t xml:space="preserve">The ability to add together multiple scans combined with the higher throughput of radiation leads to a significant sensitivity advantage of FT-IR over conventional IR spectrophotometers that use a monochromator.  As such, FT-IR instruments can be used with much lower concentrations of substances.  </w:t>
      </w:r>
    </w:p>
    <w:p w:rsidR="00C239B3" w:rsidRPr="000D361C" w:rsidRDefault="00C239B3" w:rsidP="00C239B3"/>
    <w:p w:rsidR="00C239B3" w:rsidRPr="000D361C" w:rsidRDefault="00C239B3" w:rsidP="00C239B3">
      <w:r w:rsidRPr="000D361C">
        <w:t xml:space="preserve">An FT-IR will also have much better resolution than a conventional scanning IR, especially if there is reproducible movement of the mirror.  Resolution is the ability to distinguish two nearby peaks in the spectrum.  The more reproducible the mirror movement, the better the resolution.  Distinguishing nearby frequencies is more readily accomplished by a Fourier transform of a composite time domain wave than it is using a monochromator comprised of a grating and slits.  </w:t>
      </w:r>
    </w:p>
    <w:p w:rsidR="00712E76" w:rsidRDefault="00712E76"/>
    <w:sectPr w:rsidR="00712E76" w:rsidSect="00C23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9B3"/>
    <w:rsid w:val="00712E76"/>
    <w:rsid w:val="00C239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6B0BCE-1D98-4CBE-9E01-04A63E292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39B3"/>
    <w:pPr>
      <w:spacing w:after="0" w:line="240" w:lineRule="auto"/>
    </w:pPr>
    <w:rPr>
      <w:rFonts w:cs="Times New Roman"/>
      <w:sz w:val="24"/>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tiff"/><Relationship Id="rId13" Type="http://schemas.openxmlformats.org/officeDocument/2006/relationships/image" Target="media/image10.tiff"/><Relationship Id="rId3" Type="http://schemas.openxmlformats.org/officeDocument/2006/relationships/webSettings" Target="webSettings.xml"/><Relationship Id="rId7" Type="http://schemas.openxmlformats.org/officeDocument/2006/relationships/image" Target="media/image4.tiff"/><Relationship Id="rId12" Type="http://schemas.openxmlformats.org/officeDocument/2006/relationships/image" Target="media/image9.tif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tiff"/><Relationship Id="rId11" Type="http://schemas.openxmlformats.org/officeDocument/2006/relationships/image" Target="media/image8.tiff"/><Relationship Id="rId5" Type="http://schemas.openxmlformats.org/officeDocument/2006/relationships/image" Target="media/image2.tiff"/><Relationship Id="rId15" Type="http://schemas.openxmlformats.org/officeDocument/2006/relationships/fontTable" Target="fontTable.xml"/><Relationship Id="rId10" Type="http://schemas.openxmlformats.org/officeDocument/2006/relationships/image" Target="media/image7.tiff"/><Relationship Id="rId4" Type="http://schemas.openxmlformats.org/officeDocument/2006/relationships/image" Target="media/image1.tiff"/><Relationship Id="rId9" Type="http://schemas.openxmlformats.org/officeDocument/2006/relationships/image" Target="media/image6.tiff"/><Relationship Id="rId14" Type="http://schemas.openxmlformats.org/officeDocument/2006/relationships/image" Target="media/image1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3123</Words>
  <Characters>17805</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Bates College</Company>
  <LinksUpToDate>false</LinksUpToDate>
  <CharactersWithSpaces>20887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J. Wenzel</dc:creator>
  <cp:keywords/>
  <dc:description/>
  <cp:lastModifiedBy>Thomas J. Wenzel</cp:lastModifiedBy>
  <cp:revision>1</cp:revision>
  <dcterms:created xsi:type="dcterms:W3CDTF">2020-12-28T18:52:00Z</dcterms:created>
  <dcterms:modified xsi:type="dcterms:W3CDTF">2020-12-28T18:52:00Z</dcterms:modified>
</cp:coreProperties>
</file>